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MWTGPROV-3722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ITMBO, SV, INTG] - New MVNO - Implement Error Codes / Message mapping for new MNO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Cancelled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2026-04-23 17:40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ITMBO, SV, INTG] - New MVNO - Implement Error Codes / Message mapping for new MNO feature for TMO MVNO provisioning. [NSLNM, ITMBO, SV, INTG] - New MVNO - Implement Error Codes / Message mapping for new MNO</w:t>
        <w:br/>
        <w:t>MWTGPROV-4051</w:t>
        <w:br/>
        <w:t>[NSLNM, ITMBO, SV, INTG] - New MVNO - Implement Error Codes / Message mapping for new MNO (other flows)</w:t>
        <w:br/>
        <w:t>Test Generic Error code mapping for both VZW and TMO</w:t>
        <w:br/>
        <w:t>This feature introduces a configurable, carrier-agnostic error-handling framework that translates network element errors into a standard NSL responseCode with context (including the original errorCode and errorMessage).</w:t>
        <w:br/>
        <w:t>The goal of this fe</w:t>
      </w:r>
    </w:p>
    <w:p>
      <w:pPr>
        <w:pStyle w:val="Heading1"/>
      </w:pPr>
      <w:r>
        <w:t>3. Scope &amp; Business Rules</w:t>
      </w:r>
    </w:p>
    <w:p>
      <w:r>
        <w:t>[NSLNM, ITMBO, SV, INTG] - New MVNO - Implement Error Codes / Message mapping for new MNO</w:t>
        <w:br/>
        <w:t>MWTGPROV-4051</w:t>
        <w:br/>
        <w:t>[NSLNM, ITMBO, SV, INTG] - New MVNO - Implement Error Codes / Message mapping for new MNO (other flows)</w:t>
        <w:br/>
        <w:t>Test Generic Error code mapping for both VZW and TMO</w:t>
        <w:br/>
        <w:t>This feature introduces a configurable, carrier-agnostic error-handling framework that translates network element errors into a standard NSL responseCode with context (including the original errorCode and errorMessage).</w:t>
        <w:br/>
        <w:t>The goal of this feature is to have:</w:t>
        <w:br/>
        <w:t>Upstream systems use one standardized NSL response code for all errors, instead of carrier‑specific codes.</w:t>
        <w:br/>
        <w:t>The error response still includes the original carrier error code and context (operation and sync/async) for traceability.</w:t>
        <w:br/>
        <w:t>Carrier‑to‑NSL mappings are configurable outside the codebase, so they can be changed without redeploying services.</w:t>
        <w:br/>
        <w:t>If an error isn’t mapped, NSL returns a defined default NSL error code to keep upstream behavior consistent.</w:t>
        <w:br/>
        <w:t>Errors are organized by ope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As part of integrating the new MNO system, implement error code and message mapping to ensure complete coverage of existing error codes and proper handling of new error codes.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18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72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P1=2  </w:t>
      </w:r>
      <w:r>
        <w:t xml:space="preserve">P2=13  </w:t>
      </w:r>
      <w:r>
        <w:t xml:space="preserve">P3=3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Activation PortIn Transactions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New MVNO - Implement Error Codes 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New MVNO - Implement Error Codes  completes successfully with valid inputs via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complete audit trail for new mvno - implement error codes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Validate Number Porting Errors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Verify Century Report logs all New MVNO - Implement Error Codes  backend calls correct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Negative: Already deactivated line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Line with pending port-out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- Negative: Verify handling of invalid null input fields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- Negative: Verify handling of unrecognized invalid codes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Error Code Mapping (Translate TMO error codes to map with current)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Validate New MVNO - Implement Error Codes 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Validate New MVNO - Implement Error Codes 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Validate New MVNO - Implement Error Codes 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Verify New MVNO - Implement Error Codes  rejects duplicate request for same MDN within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Verify New MVNO - Implement Error Codes  handles delayed async callback arriving after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MWTGPROV-3722 (Description, AC, Labels, Links)</w:t>
      </w:r>
    </w:p>
    <w:p>
      <w:pPr>
        <w:pStyle w:val="ListBullet"/>
      </w:pPr>
      <w:r>
        <w:t>Jira Comments: 6 comments scanned</w:t>
      </w:r>
    </w:p>
    <w:p>
      <w:pPr>
        <w:pStyle w:val="ListBullet"/>
      </w:pPr>
      <w:r>
        <w:t>Jira Subtasks: 1 subtasks scanned</w:t>
      </w:r>
    </w:p>
    <w:p>
      <w:pPr>
        <w:pStyle w:val="ListBullet"/>
      </w:pPr>
      <w:r>
        <w:t>Jira Links: MOBIT2-55724, CHCAPABLTY-22805</w:t>
      </w:r>
    </w:p>
    <w:p>
      <w:pPr>
        <w:pStyle w:val="ListBullet"/>
      </w:pPr>
      <w:r>
        <w:t>Chalk: MWTGPROV-3722 section (14 scenarios)</w:t>
      </w:r>
    </w:p>
    <w:p>
      <w:pPr>
        <w:pStyle w:val="ListBullet"/>
      </w:pPr>
      <w:r>
        <w:t>Attachment: MWTGPROV-3722_TMO_Error_Catalog.xlsx (787 paragraphs, 2 tables)</w:t>
      </w:r>
    </w:p>
    <w:p>
      <w:pPr>
        <w:pStyle w:val="ListBullet"/>
      </w:pPr>
      <w:r>
        <w:t>Attachment: MWTGPROV-3722_TMO Error Codes.xlsx (431 paragraphs, 6 tables)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MOBIT2-55724 — Error Handling/Processing:  T-Mobile MVNO</w:t>
      </w:r>
    </w:p>
    <w:p>
      <w:pPr>
        <w:pStyle w:val="ListBullet"/>
      </w:pPr>
      <w:r>
        <w:t>CHCAPABLTY-22805 — Rate Plans and Features (Mobile Product)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[Jira] Issue is Cancelled — generating tests for a closed issue</w:t>
      </w:r>
    </w:p>
    <w:p>
      <w:pPr>
        <w:pStyle w:val="ListBullet"/>
      </w:pPr>
      <w:r>
        <w:t>Chalk scenario not covered: "Wearable Operations"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