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</w:t>
      </w:r>
    </w:p>
    <w:p>
      <w:pPr>
        <w:pStyle w:val="Heading1"/>
      </w:pPr>
      <w:r>
        <w:t>3. Scope &amp; Business Rules</w:t>
      </w:r>
    </w:p>
    <w:p>
      <w:r>
        <w:t>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eligible for Portin-Activation. The request will go to TMO and the MDN will be validated by TMO for the Portin eligibility.</w:t>
        <w:br/>
        <w:t>Supported channels: IT-MBO, NBOP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MDN Portability — GET (GET) from SYNC to nsl provisioning mno v2 portin-validate line mdn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POST (SYNC) from port v1 portin-eligibility to ASYNC.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MDN Portability (GET POST)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should invoke TMO to validate the mdn and in response TMO should return MDN is portable.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returing requestType as MNO Service in response of Validate MDN Portability outbound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_UAT_49.x_MWTGPROV-3779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MDN Portability (GET POST) handles TMO Apollo-NE timeout grac.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MDN Portability (GET POST)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