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Change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Change MDN feature for TMO MVNO provisioning. 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</w:t>
      </w:r>
    </w:p>
    <w:p>
      <w:pPr>
        <w:pStyle w:val="Heading1"/>
      </w:pPr>
      <w:r>
        <w:t>3. Scope &amp; Business Rules</w:t>
      </w:r>
    </w:p>
    <w:p>
      <w:r>
        <w:t>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 used to modify MDN for a phone/ tablet line for a subscriber with regular number in the TMO network. The related TMO API is ChangeMSISDN.</w:t>
        <w:br/>
        <w:t>Transaction Type: CM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NBOP &amp; ITMBO must be processed without issues if eligibility criteria are met.</w:t>
      </w:r>
    </w:p>
    <w:p>
      <w:pPr>
        <w:pStyle w:val="ListNumber"/>
      </w:pPr>
      <w:r>
        <w:t>2. Regardless of the TMO or VZW flow type, the response sent back for new MNO or Vzw lines should remain same as to what is currently defined.</w:t>
      </w:r>
    </w:p>
    <w:p>
      <w:pPr>
        <w:pStyle w:val="ListNumber"/>
      </w:pPr>
      <w:r>
        <w:t>3. Devices supported must cover Phones, Tablets</w:t>
      </w:r>
    </w:p>
    <w:p>
      <w:pPr>
        <w:pStyle w:val="ListNumber"/>
      </w:pPr>
      <w:r>
        <w:t>4. A) The standalone flows for each API should be self-contained, functional, and easily testable without relying on external dependencies.</w:t>
      </w:r>
    </w:p>
    <w:p>
      <w:pPr>
        <w:pStyle w:val="ListNumber"/>
      </w:pPr>
      <w:r>
        <w:t>5.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P2=16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MDN (Inbound) from IT-MBO NBOP to NSL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MDN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Async Service (Inbound) from Apollo-NE TMO to NSL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Get Line Details (Outbound) from NSL to IT-MBO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MDN Subscriber (Outbound) from NSL to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Change Port-in (CP)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Change MDN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Connection Manager (Outbound) from NSL to CM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Connection Manager (Outbound) from NSL to MDA-KAFKA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Async service (Outbound) from NSL to IT-MBO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Delete Subscriber (Outbound) from NSL to Google-RCS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NSL DB state is consistent after successful Change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Change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APOLLO_NE is notified updated during Change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_UAT_PROGRESSION_50.2: In PGAdmin, data used by TMO MDN is showing up under vzw_usage_kb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_UAT_50.x_MWTGPROV-3843 — Change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This API is used to modify mdn for a phone tablet line for a subscriber with regular number in the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new MNO or Vzw lines should remain same as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The original development was done with underlying functionality was based on SV layer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All features listed below are implemented correctly and function as intended in the test environment (QA UAT)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Chalk Reference: [T015. Change-mdn — Mobile Device Activations — CHALK (Scenario 1: Change MDN -CM)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implementation does not support HMNO NaaS implementation.*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The Change-MDN Port in pSim(CP) and Change-MDN port-in eSim (CE) will be covered in a later iteration.*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 xml:space="preserve">Validate A) The standalone flows for each API should be self-contained, functional, and easily testable without relying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must support the Change MDN workflow for TMO subscriber lines, including updating MDN information across TMO, 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should pick the next nearest zip code from the reference table and retry the transaction up to the configured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Given the subscriber line is actively paired with companion wearables, When the Change MDN request is received,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The response to NBOP ITMBO must follow the existing NSL response structure And no schema or field-level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cancel reversal of Change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Change MDN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MDN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_UAT_PROGRESSION_50.2: For Change MDN API, using an invalid account number we are able to change the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supports co-existing Vz and new MVNO in same environment with out conflicts or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B) When integrated into a larger workflow, the standalone flows for each API must seamlessly integrate with oth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Change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Change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Change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Change MDN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Change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Change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Change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Change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MWTGPROV-3843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MOBIT2-53913</w:t>
      </w:r>
    </w:p>
    <w:p>
      <w:pPr>
        <w:pStyle w:val="ListBullet"/>
      </w:pPr>
      <w:r>
        <w:t>Chalk: MWTGPROV-3843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MOBIT2-53913 — MDN Change:  BAU Functionality Support with TMO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