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MWTGPROV-3844</w:t>
            </w:r>
          </w:p>
        </w:tc>
      </w:tr>
      <w:tr>
        <w:tc>
          <w:tcPr>
            <w:tcW w:type="dxa" w:w="4320"/>
          </w:tcPr>
          <w:p>
            <w:r>
              <w:rPr>
                <w:b/>
              </w:rPr>
              <w:t>Title</w:t>
            </w:r>
          </w:p>
        </w:tc>
        <w:tc>
          <w:tcPr>
            <w:tcW w:type="dxa" w:w="4320"/>
          </w:tcPr>
          <w:p>
            <w:r>
              <w:t>[NENM, NSLNM, INTG]: New MVNO - Port-in Inquiry</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TMO_MVP, bpo</w:t>
            </w:r>
          </w:p>
        </w:tc>
      </w:tr>
      <w:tr>
        <w:tc>
          <w:tcPr>
            <w:tcW w:type="dxa" w:w="4320"/>
          </w:tcPr>
          <w:p>
            <w:r>
              <w:rPr>
                <w:b/>
              </w:rPr>
              <w:t>Generated</w:t>
            </w:r>
          </w:p>
        </w:tc>
        <w:tc>
          <w:tcPr>
            <w:tcW w:type="dxa" w:w="4320"/>
          </w:tcPr>
          <w:p>
            <w:r>
              <w:t>2026-04-15 15:53</w:t>
            </w:r>
          </w:p>
        </w:tc>
      </w:tr>
    </w:tbl>
    <w:p>
      <w:pPr>
        <w:pStyle w:val="Heading1"/>
      </w:pPr>
      <w:r>
        <w:t>2. Objective</w:t>
      </w:r>
    </w:p>
    <w:p>
      <w:r>
        <w:t>Validate the [NENM, NSLNM, INTG]: New MVNO - Port-in Inquiry feature for TMO MVNO provisioning. [NENM, NSLNM, INTG]: New MVNO - Port-in Inquiry</w:t>
        <w:br/>
        <w:t>Port In Inquiry</w:t>
        <w:br/>
        <w:t>This feature is to implement the ability to query a port in with an MDN to have parity with VZW based scenarios.  It will follow the same internal logic as VZW based calls.    There are currently no changes to the APIs to initiate the port in inquiry.</w:t>
        <w:br/>
        <w:t>NSL API - no change besides the RequestType</w:t>
        <w:br/>
        <w:t>Synchronous NE API: GET /nbo/ne/services/port/v1/portin/${mdn}/status</w:t>
        <w:br/>
        <w:t>Response:</w:t>
        <w:br/>
      </w:r>
    </w:p>
    <w:p>
      <w:pPr>
        <w:pStyle w:val="Heading1"/>
      </w:pPr>
      <w:r>
        <w:t>3. Scope &amp; Business Rules</w:t>
      </w:r>
    </w:p>
    <w:p>
      <w:r>
        <w:t>[NENM, NSLNM, INTG]: New MVNO - Port-in Inquiry</w:t>
        <w:br/>
        <w:t>Port In Inquiry</w:t>
        <w:br/>
        <w:t>This feature is to implement the ability to query a port in with an MDN to have parity with VZW based scenarios.  It will follow the same internal logic as VZW based calls.    There are currently no changes to the APIs to initiate the port in inquiry.</w:t>
        <w:br/>
        <w:t>NSL API - no change besides the RequestType</w:t>
        <w:br/>
        <w:t>Synchronous NE API: GET /nbo/ne/services/port/v1/portin/${mdn}/status</w:t>
        <w:br/>
        <w:t>Response:</w:t>
        <w:br/>
      </w:r>
    </w:p>
    <w:p>
      <w:pPr>
        <w:pStyle w:val="Heading1"/>
      </w:pPr>
      <w:r>
        <w:t>4. Acceptance Criteria</w:t>
      </w:r>
    </w:p>
    <w:p>
      <w:pPr>
        <w:pStyle w:val="ListNumber"/>
      </w:pPr>
      <w:r>
        <w:t>1. Orders placed through NBOP &amp; ITMBO must be processed without issues if eligibility criteria are met.</w:t>
      </w:r>
    </w:p>
    <w:p>
      <w:pPr>
        <w:pStyle w:val="ListNumber"/>
      </w:pPr>
      <w:r>
        <w:t>2. Regardless of the TMO or VZW flow type, the response sent back for new MNO or Vzw lines should remain same as to what is currently defined.</w:t>
      </w:r>
    </w:p>
    <w:p>
      <w:pPr>
        <w:pStyle w:val="ListNumber"/>
      </w:pPr>
      <w:r>
        <w:t>3. Devices supported must cover Phones, Tablets</w:t>
      </w:r>
    </w:p>
    <w:p>
      <w:pPr>
        <w:pStyle w:val="ListNumber"/>
      </w:pPr>
      <w:r>
        <w:t>4. A) The standalone flows for each API should be self-contained, functional, and easily testable without relying on external dependencies.</w:t>
      </w:r>
    </w:p>
    <w:p>
      <w:pPr>
        <w:pStyle w:val="ListNumber"/>
      </w:pPr>
      <w:r>
        <w:t>5. B) When integrated into a larger workflow, the standalone flows for each API must seamlessly integrate with other components, work flawlessly without errors, and meet their intended functionality as designed.</w:t>
      </w:r>
    </w:p>
    <w:p>
      <w:pPr>
        <w:pStyle w:val="ListNumber"/>
      </w:pPr>
      <w:r>
        <w:t>6. Test strategy document is available.</w:t>
      </w:r>
    </w:p>
    <w:p>
      <w:pPr>
        <w:pStyle w:val="ListNumber"/>
      </w:pPr>
      <w:r>
        <w:t>7. KPIs and SLAs should be BAU.</w:t>
      </w:r>
    </w:p>
    <w:p>
      <w:pPr>
        <w:pStyle w:val="ListNumber"/>
      </w:pPr>
      <w:r>
        <w:t>8.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87</w:t>
            </w:r>
          </w:p>
        </w:tc>
      </w:tr>
      <w:tr>
        <w:tc>
          <w:tcPr>
            <w:tcW w:type="dxa" w:w="4320"/>
          </w:tcPr>
          <w:p>
            <w:r>
              <w:t>Happy Path Scenarios</w:t>
            </w:r>
          </w:p>
        </w:tc>
        <w:tc>
          <w:tcPr>
            <w:tcW w:type="dxa" w:w="4320"/>
          </w:tcPr>
          <w:p>
            <w:r>
              <w:t>13</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P2=8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 iOS, Android, Pixel — eSIM pSIM.</w:t>
            </w:r>
          </w:p>
        </w:tc>
        <w:tc>
          <w:tcPr>
            <w:tcW w:type="dxa" w:w="2880"/>
          </w:tcPr>
          <w:p>
            <w:r>
              <w:t>P1</w:t>
            </w:r>
          </w:p>
        </w:tc>
      </w:tr>
      <w:tr>
        <w:tc>
          <w:tcPr>
            <w:tcW w:type="dxa" w:w="2880"/>
          </w:tcPr>
          <w:p>
            <w:r>
              <w:t>TC02</w:t>
            </w:r>
          </w:p>
        </w:tc>
        <w:tc>
          <w:tcPr>
            <w:tcW w:type="dxa" w:w="2880"/>
          </w:tcPr>
          <w:p>
            <w:r>
              <w:t>Verify Port-in Inquiry completes successfully with valid inputs via ITMBO channel.</w:t>
            </w:r>
          </w:p>
        </w:tc>
        <w:tc>
          <w:tcPr>
            <w:tcW w:type="dxa" w:w="2880"/>
          </w:tcPr>
          <w:p>
            <w:r>
              <w:t>P1</w:t>
            </w:r>
          </w:p>
        </w:tc>
      </w:tr>
      <w:tr>
        <w:tc>
          <w:tcPr>
            <w:tcW w:type="dxa" w:w="2880"/>
          </w:tcPr>
          <w:p>
            <w:r>
              <w:t>TC03</w:t>
            </w:r>
          </w:p>
        </w:tc>
        <w:tc>
          <w:tcPr>
            <w:tcW w:type="dxa" w:w="2880"/>
          </w:tcPr>
          <w:p>
            <w:r>
              <w:t>Verify NSL DB state is consistent after successful Port-in Inquiry.</w:t>
            </w:r>
          </w:p>
        </w:tc>
        <w:tc>
          <w:tcPr>
            <w:tcW w:type="dxa" w:w="2880"/>
          </w:tcPr>
          <w:p>
            <w:r>
              <w:t>P1</w:t>
            </w:r>
          </w:p>
        </w:tc>
      </w:tr>
      <w:tr>
        <w:tc>
          <w:tcPr>
            <w:tcW w:type="dxa" w:w="2880"/>
          </w:tcPr>
          <w:p>
            <w:r>
              <w:t>TC14</w:t>
            </w:r>
          </w:p>
        </w:tc>
        <w:tc>
          <w:tcPr>
            <w:tcW w:type="dxa" w:w="2880"/>
          </w:tcPr>
          <w:p>
            <w:r>
              <w:t>Verify Port-in Inquiry API response payload contains all required fields.</w:t>
            </w:r>
          </w:p>
        </w:tc>
        <w:tc>
          <w:tcPr>
            <w:tcW w:type="dxa" w:w="2880"/>
          </w:tcPr>
          <w:p>
            <w:r>
              <w:t>P3</w:t>
            </w:r>
          </w:p>
        </w:tc>
      </w:tr>
      <w:tr>
        <w:tc>
          <w:tcPr>
            <w:tcW w:type="dxa" w:w="2880"/>
          </w:tcPr>
          <w:p>
            <w:r>
              <w:t>TC15</w:t>
            </w:r>
          </w:p>
        </w:tc>
        <w:tc>
          <w:tcPr>
            <w:tcW w:type="dxa" w:w="2880"/>
          </w:tcPr>
          <w:p>
            <w:r>
              <w:t>Verify Update Port-in (PU) succeeds over active Port-in Inquiry.</w:t>
            </w:r>
          </w:p>
        </w:tc>
        <w:tc>
          <w:tcPr>
            <w:tcW w:type="dxa" w:w="2880"/>
          </w:tcPr>
          <w:p>
            <w:r>
              <w:t>P3</w:t>
            </w:r>
          </w:p>
        </w:tc>
      </w:tr>
      <w:tr>
        <w:tc>
          <w:tcPr>
            <w:tcW w:type="dxa" w:w="2880"/>
          </w:tcPr>
          <w:p>
            <w:r>
              <w:t>TC16</w:t>
            </w:r>
          </w:p>
        </w:tc>
        <w:tc>
          <w:tcPr>
            <w:tcW w:type="dxa" w:w="2880"/>
          </w:tcPr>
          <w:p>
            <w:r>
              <w:t>Validate _UAT_PROGRESSION_49.2: TMO_Portin_Inquiry_The fields onsp,ospAccountNo,pin,lnpName is not.</w:t>
            </w:r>
          </w:p>
        </w:tc>
        <w:tc>
          <w:tcPr>
            <w:tcW w:type="dxa" w:w="2880"/>
          </w:tcPr>
          <w:p>
            <w:r>
              <w:t>P3</w:t>
            </w:r>
          </w:p>
        </w:tc>
      </w:tr>
      <w:tr>
        <w:tc>
          <w:tcPr>
            <w:tcW w:type="dxa" w:w="2880"/>
          </w:tcPr>
          <w:p>
            <w:r>
              <w:t>TC17</w:t>
            </w:r>
          </w:p>
        </w:tc>
        <w:tc>
          <w:tcPr>
            <w:tcW w:type="dxa" w:w="2880"/>
          </w:tcPr>
          <w:p>
            <w:r>
              <w:t>Validate _UAT_PROGRESSION_49.2: TMO_Portin_Inquiry_response_Under Message array the responseCode is.</w:t>
            </w:r>
          </w:p>
        </w:tc>
        <w:tc>
          <w:tcPr>
            <w:tcW w:type="dxa" w:w="2880"/>
          </w:tcPr>
          <w:p>
            <w:r>
              <w:t>P3</w:t>
            </w:r>
          </w:p>
        </w:tc>
      </w:tr>
      <w:tr>
        <w:tc>
          <w:tcPr>
            <w:tcW w:type="dxa" w:w="2880"/>
          </w:tcPr>
          <w:p>
            <w:r>
              <w:t>TC18</w:t>
            </w:r>
          </w:p>
        </w:tc>
        <w:tc>
          <w:tcPr>
            <w:tcW w:type="dxa" w:w="2880"/>
          </w:tcPr>
          <w:p>
            <w:r>
              <w:t>Validate _UAT_49.x_MWTGPROV-3844 — Port-in Inquiry.</w:t>
            </w:r>
          </w:p>
        </w:tc>
        <w:tc>
          <w:tcPr>
            <w:tcW w:type="dxa" w:w="2880"/>
          </w:tcPr>
          <w:p>
            <w:r>
              <w:t>P3</w:t>
            </w:r>
          </w:p>
        </w:tc>
      </w:tr>
      <w:tr>
        <w:tc>
          <w:tcPr>
            <w:tcW w:type="dxa" w:w="2880"/>
          </w:tcPr>
          <w:p>
            <w:r>
              <w:t>TC19</w:t>
            </w:r>
          </w:p>
        </w:tc>
        <w:tc>
          <w:tcPr>
            <w:tcW w:type="dxa" w:w="2880"/>
          </w:tcPr>
          <w:p>
            <w:r>
              <w:t>Validate This API is used to inquire about the port-in status request submitted to the TMO network.</w:t>
            </w:r>
          </w:p>
        </w:tc>
        <w:tc>
          <w:tcPr>
            <w:tcW w:type="dxa" w:w="2880"/>
          </w:tcPr>
          <w:p>
            <w:r>
              <w:t>P3</w:t>
            </w:r>
          </w:p>
        </w:tc>
      </w:tr>
      <w:tr>
        <w:tc>
          <w:tcPr>
            <w:tcW w:type="dxa" w:w="2880"/>
          </w:tcPr>
          <w:p>
            <w:r>
              <w:t>TC20</w:t>
            </w:r>
          </w:p>
        </w:tc>
        <w:tc>
          <w:tcPr>
            <w:tcW w:type="dxa" w:w="2880"/>
          </w:tcPr>
          <w:p>
            <w:r>
              <w:t>Validate workflow successfully integrates with NE APIs for Change MDN (part of Change Subscriber.</w:t>
            </w:r>
          </w:p>
        </w:tc>
        <w:tc>
          <w:tcPr>
            <w:tcW w:type="dxa" w:w="2880"/>
          </w:tcPr>
          <w:p>
            <w:r>
              <w:t>P3</w:t>
            </w:r>
          </w:p>
        </w:tc>
      </w:tr>
      <w:tr>
        <w:tc>
          <w:tcPr>
            <w:tcW w:type="dxa" w:w="2880"/>
          </w:tcPr>
          <w:p>
            <w:r>
              <w:t>TC21</w:t>
            </w:r>
          </w:p>
        </w:tc>
        <w:tc>
          <w:tcPr>
            <w:tcW w:type="dxa" w:w="2880"/>
          </w:tcPr>
          <w:p>
            <w:r>
              <w:t>Validate Orders placed through NBOP ITMBO must be processed without issues if eligibility criteria.</w:t>
            </w:r>
          </w:p>
        </w:tc>
        <w:tc>
          <w:tcPr>
            <w:tcW w:type="dxa" w:w="2880"/>
          </w:tcPr>
          <w:p>
            <w:r>
              <w:t>P3</w:t>
            </w:r>
          </w:p>
        </w:tc>
      </w:tr>
      <w:tr>
        <w:tc>
          <w:tcPr>
            <w:tcW w:type="dxa" w:w="2880"/>
          </w:tcPr>
          <w:p>
            <w:r>
              <w:t>TC22</w:t>
            </w:r>
          </w:p>
        </w:tc>
        <w:tc>
          <w:tcPr>
            <w:tcW w:type="dxa" w:w="2880"/>
          </w:tcPr>
          <w:p>
            <w:r>
              <w:t>Validate As part of the TMO integration, i want NSL to ensure that port-in inquiry api has been.</w:t>
            </w:r>
          </w:p>
        </w:tc>
        <w:tc>
          <w:tcPr>
            <w:tcW w:type="dxa" w:w="2880"/>
          </w:tcPr>
          <w:p>
            <w:r>
              <w:t>P3</w:t>
            </w:r>
          </w:p>
        </w:tc>
      </w:tr>
      <w:tr>
        <w:tc>
          <w:tcPr>
            <w:tcW w:type="dxa" w:w="2880"/>
          </w:tcPr>
          <w:p>
            <w:r>
              <w:t>TC23</w:t>
            </w:r>
          </w:p>
        </w:tc>
        <w:tc>
          <w:tcPr>
            <w:tcW w:type="dxa" w:w="2880"/>
          </w:tcPr>
          <w:p>
            <w:r>
              <w:t>Validate segregates the request between VZW and TMO based on requestType header.</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Negative: Verify Port-in Inquiry handles TMO Apollo-NE timeout gracefully.</w:t>
            </w:r>
          </w:p>
        </w:tc>
        <w:tc>
          <w:tcPr>
            <w:tcW w:type="dxa" w:w="2880"/>
          </w:tcPr>
          <w:p>
            <w:r>
              <w:t>P1</w:t>
            </w:r>
          </w:p>
        </w:tc>
      </w:tr>
      <w:tr>
        <w:tc>
          <w:tcPr>
            <w:tcW w:type="dxa" w:w="2880"/>
          </w:tcPr>
          <w:p>
            <w:r>
              <w:t>TC06</w:t>
            </w:r>
          </w:p>
        </w:tc>
        <w:tc>
          <w:tcPr>
            <w:tcW w:type="dxa" w:w="2880"/>
          </w:tcPr>
          <w:p>
            <w:r>
              <w:t>Negative: Verify Port-in Inquiry rolls back cleanly on mid-operation failure.</w:t>
            </w:r>
          </w:p>
        </w:tc>
        <w:tc>
          <w:tcPr>
            <w:tcW w:type="dxa" w:w="2880"/>
          </w:tcPr>
          <w:p>
            <w:r>
              <w:t>P2</w:t>
            </w:r>
          </w:p>
        </w:tc>
      </w:tr>
      <w:tr>
        <w:tc>
          <w:tcPr>
            <w:tcW w:type="dxa" w:w="2880"/>
          </w:tcPr>
          <w:p>
            <w:r>
              <w:t>TC07</w:t>
            </w:r>
          </w:p>
        </w:tc>
        <w:tc>
          <w:tcPr>
            <w:tcW w:type="dxa" w:w="2880"/>
          </w:tcPr>
          <w:p>
            <w:r>
              <w:t>Negative: Validate Port-in Inquiry rejected for Hotlined MDN.</w:t>
            </w:r>
          </w:p>
        </w:tc>
        <w:tc>
          <w:tcPr>
            <w:tcW w:type="dxa" w:w="2880"/>
          </w:tcPr>
          <w:p>
            <w:r>
              <w:t>P2</w:t>
            </w:r>
          </w:p>
        </w:tc>
      </w:tr>
      <w:tr>
        <w:tc>
          <w:tcPr>
            <w:tcW w:type="dxa" w:w="2880"/>
          </w:tcPr>
          <w:p>
            <w:r>
              <w:t>TC08</w:t>
            </w:r>
          </w:p>
        </w:tc>
        <w:tc>
          <w:tcPr>
            <w:tcW w:type="dxa" w:w="2880"/>
          </w:tcPr>
          <w:p>
            <w:r>
              <w:t>Negative: Validate Port-in Inquiry rejected for Deactivated MDN.</w:t>
            </w:r>
          </w:p>
        </w:tc>
        <w:tc>
          <w:tcPr>
            <w:tcW w:type="dxa" w:w="2880"/>
          </w:tcPr>
          <w:p>
            <w:r>
              <w:t>P2</w:t>
            </w:r>
          </w:p>
        </w:tc>
      </w:tr>
      <w:tr>
        <w:tc>
          <w:tcPr>
            <w:tcW w:type="dxa" w:w="2880"/>
          </w:tcPr>
          <w:p>
            <w:r>
              <w:t>TC09</w:t>
            </w:r>
          </w:p>
        </w:tc>
        <w:tc>
          <w:tcPr>
            <w:tcW w:type="dxa" w:w="2880"/>
          </w:tcPr>
          <w:p>
            <w:r>
              <w:t>Negative: Validate Port-in Inquiry rejected with invalid LineId.</w:t>
            </w:r>
          </w:p>
        </w:tc>
        <w:tc>
          <w:tcPr>
            <w:tcW w:type="dxa" w:w="2880"/>
          </w:tcPr>
          <w:p>
            <w:r>
              <w:t>P2</w:t>
            </w:r>
          </w:p>
        </w:tc>
      </w:tr>
      <w:tr>
        <w:tc>
          <w:tcPr>
            <w:tcW w:type="dxa" w:w="2880"/>
          </w:tcPr>
          <w:p>
            <w:r>
              <w:t>TC10</w:t>
            </w:r>
          </w:p>
        </w:tc>
        <w:tc>
          <w:tcPr>
            <w:tcW w:type="dxa" w:w="2880"/>
          </w:tcPr>
          <w:p>
            <w:r>
              <w:t>Negative: Validate Port-in Inquiry rejected with invalid AccountId.</w:t>
            </w:r>
          </w:p>
        </w:tc>
        <w:tc>
          <w:tcPr>
            <w:tcW w:type="dxa" w:w="2880"/>
          </w:tcPr>
          <w:p>
            <w:r>
              <w:t>P2</w:t>
            </w:r>
          </w:p>
        </w:tc>
      </w:tr>
      <w:tr>
        <w:tc>
          <w:tcPr>
            <w:tcW w:type="dxa" w:w="2880"/>
          </w:tcPr>
          <w:p>
            <w:r>
              <w:t>TC11</w:t>
            </w:r>
          </w:p>
        </w:tc>
        <w:tc>
          <w:tcPr>
            <w:tcW w:type="dxa" w:w="2880"/>
          </w:tcPr>
          <w:p>
            <w:r>
              <w:t>Negative: Validate Port-in Inquiry rejected when LineId and AccountId mismatch.</w:t>
            </w:r>
          </w:p>
        </w:tc>
        <w:tc>
          <w:tcPr>
            <w:tcW w:type="dxa" w:w="2880"/>
          </w:tcPr>
          <w:p>
            <w:r>
              <w:t>P2</w:t>
            </w:r>
          </w:p>
        </w:tc>
      </w:tr>
      <w:tr>
        <w:tc>
          <w:tcPr>
            <w:tcW w:type="dxa" w:w="2880"/>
          </w:tcPr>
          <w:p>
            <w:r>
              <w:t>TC12</w:t>
            </w:r>
          </w:p>
        </w:tc>
        <w:tc>
          <w:tcPr>
            <w:tcW w:type="dxa" w:w="2880"/>
          </w:tcPr>
          <w:p>
            <w:r>
              <w:t>Negative: Validate Port-in Inquiry rollback failure (rollback itself fails)</w:t>
            </w:r>
          </w:p>
        </w:tc>
        <w:tc>
          <w:tcPr>
            <w:tcW w:type="dxa" w:w="2880"/>
          </w:tcPr>
          <w:p>
            <w:r>
              <w:t>P2</w:t>
            </w:r>
          </w:p>
        </w:tc>
      </w:tr>
      <w:tr>
        <w:tc>
          <w:tcPr>
            <w:tcW w:type="dxa" w:w="2880"/>
          </w:tcPr>
          <w:p>
            <w:r>
              <w:t>TC13</w:t>
            </w:r>
          </w:p>
        </w:tc>
        <w:tc>
          <w:tcPr>
            <w:tcW w:type="dxa" w:w="2880"/>
          </w:tcPr>
          <w:p>
            <w:r>
              <w:t>Negative: Validate Port-in Inquiry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Port-in Inquiry rejects duplicate request for same MDN within processing window.</w:t>
            </w:r>
          </w:p>
        </w:tc>
        <w:tc>
          <w:tcPr>
            <w:tcW w:type="dxa" w:w="2880"/>
          </w:tcPr>
          <w:p>
            <w:r>
              <w:t>P1</w:t>
            </w:r>
          </w:p>
        </w:tc>
      </w:tr>
    </w:tbl>
    <w:p>
      <w:pPr>
        <w:pStyle w:val="Heading1"/>
      </w:pPr>
      <w:r>
        <w:t>7. Data Sources</w:t>
      </w:r>
    </w:p>
    <w:p>
      <w:pPr>
        <w:pStyle w:val="ListBullet"/>
      </w:pPr>
      <w:r>
        <w:t>Jira: MWTGPROV-3844 (Description, AC, Labels, Links)</w:t>
      </w:r>
    </w:p>
    <w:p>
      <w:pPr>
        <w:pStyle w:val="ListBullet"/>
      </w:pPr>
      <w:r>
        <w:t>Jira Subtasks: 4 subtasks scanned</w:t>
      </w:r>
    </w:p>
    <w:p>
      <w:pPr>
        <w:pStyle w:val="ListBullet"/>
      </w:pPr>
      <w:r>
        <w:t>Jira Links: MWTGTEST-11771, MWTGTEST-11859</w:t>
      </w:r>
    </w:p>
    <w:p>
      <w:pPr>
        <w:pStyle w:val="ListBullet"/>
      </w:pPr>
      <w:r>
        <w:t>Chalk: MWTGPROV-3844 section (2 scenarios)</w:t>
      </w:r>
    </w:p>
    <w:p>
      <w:pPr>
        <w:pStyle w:val="Heading1"/>
      </w:pPr>
      <w:r>
        <w:t>8. Linked Issues</w:t>
      </w:r>
    </w:p>
    <w:p>
      <w:pPr>
        <w:pStyle w:val="ListBullet"/>
      </w:pPr>
      <w:r>
        <w:t xml:space="preserve">MWTGTEST-11771 — INTG - UAT - PROGRESSION - 49.2 - TMO - E911 Address - NSL is accepting address </w:t>
      </w:r>
    </w:p>
    <w:p>
      <w:pPr>
        <w:pStyle w:val="ListBullet"/>
      </w:pPr>
      <w:r>
        <w:t>MWTGTEST-11859 — INTG_UAT_PROGRESSION_49.2: TMO_Portin_Inquiry_response_Under Message array the r</w:t>
      </w:r>
    </w:p>
    <w:p>
      <w:pPr>
        <w:pStyle w:val="Heading1"/>
      </w:pPr>
      <w:r>
        <w:t>9. Warnings &amp; Open Items</w:t>
      </w:r>
    </w:p>
    <w:p>
      <w:pPr>
        <w:pStyle w:val="ListBullet"/>
      </w:pPr>
      <w:r>
        <w:t>AC not covered: "Updated HLD."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