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05:41</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29</w:t>
            </w:r>
          </w:p>
        </w:tc>
      </w:tr>
      <w:tr>
        <w:tc>
          <w:tcPr>
            <w:tcW w:type="dxa" w:w="4320"/>
          </w:tcPr>
          <w:p>
            <w:r>
              <w:t>Total Test Steps</w:t>
            </w:r>
          </w:p>
        </w:tc>
        <w:tc>
          <w:tcPr>
            <w:tcW w:type="dxa" w:w="4320"/>
          </w:tcPr>
          <w:p>
            <w:r>
              <w:t>114</w:t>
            </w:r>
          </w:p>
        </w:tc>
      </w:tr>
      <w:tr>
        <w:tc>
          <w:tcPr>
            <w:tcW w:type="dxa" w:w="4320"/>
          </w:tcPr>
          <w:p>
            <w:r>
              <w:t>Negative Scenarios</w:t>
            </w:r>
          </w:p>
        </w:tc>
        <w:tc>
          <w:tcPr>
            <w:tcW w:type="dxa" w:w="4320"/>
          </w:tcPr>
          <w:p>
            <w:r>
              <w:t>10</w:t>
            </w:r>
          </w:p>
        </w:tc>
      </w:tr>
      <w:tr>
        <w:tc>
          <w:tcPr>
            <w:tcW w:type="dxa" w:w="4320"/>
          </w:tcPr>
          <w:p>
            <w:r>
              <w:t>Regression Scenarios</w:t>
            </w:r>
          </w:p>
        </w:tc>
        <w:tc>
          <w:tcPr>
            <w:tcW w:type="dxa" w:w="4320"/>
          </w:tcPr>
          <w:p>
            <w:r>
              <w:t>1</w:t>
            </w:r>
          </w:p>
        </w:tc>
      </w:tr>
      <w:tr>
        <w:tc>
          <w:tcPr>
            <w:tcW w:type="dxa" w:w="4320"/>
          </w:tcPr>
          <w:p>
            <w:r>
              <w:t>Happy Path Scenarios</w:t>
            </w:r>
          </w:p>
        </w:tc>
        <w:tc>
          <w:tcPr>
            <w:tcW w:type="dxa" w:w="4320"/>
          </w:tcPr>
          <w:p>
            <w:r>
              <w:t>17</w:t>
            </w:r>
          </w:p>
        </w:tc>
      </w:tr>
      <w:tr>
        <w:tc>
          <w:tcPr>
            <w:tcW w:type="dxa" w:w="4320"/>
          </w:tcPr>
          <w:p>
            <w:r>
              <w:t>Edge Case Scenarios</w:t>
            </w:r>
          </w:p>
        </w:tc>
        <w:tc>
          <w:tcPr>
            <w:tcW w:type="dxa" w:w="4320"/>
          </w:tcPr>
          <w:p>
            <w:r>
              <w:t>1</w:t>
            </w:r>
          </w:p>
        </w:tc>
      </w:tr>
    </w:tbl>
    <w:p/>
    <w:p>
      <w:r>
        <w:rPr>
          <w:b/>
        </w:rPr>
        <w:t xml:space="preserve">Priority Distribution: </w:t>
      </w:r>
      <w:r>
        <w:t xml:space="preserve">P1=4  </w:t>
      </w:r>
      <w:r>
        <w:t xml:space="preserve">P2=11  </w:t>
      </w:r>
      <w:r>
        <w:t xml:space="preserve">P3=14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TC09</w:t>
            </w:r>
          </w:p>
        </w:tc>
        <w:tc>
          <w:tcPr>
            <w:tcW w:type="dxa" w:w="2880"/>
          </w:tcPr>
          <w:p>
            <w:r>
              <w:t>Validate Integration with Synverse handles invalid malformed PRR records gracefully</w:t>
            </w:r>
          </w:p>
        </w:tc>
        <w:tc>
          <w:tcPr>
            <w:tcW w:type="dxa" w:w="2880"/>
          </w:tcPr>
          <w:p>
            <w:r>
              <w:t>P2</w:t>
            </w:r>
          </w:p>
        </w:tc>
      </w:tr>
      <w:tr>
        <w:tc>
          <w:tcPr>
            <w:tcW w:type="dxa" w:w="2880"/>
          </w:tcPr>
          <w:p>
            <w:r>
              <w:t>TC10</w:t>
            </w:r>
          </w:p>
        </w:tc>
        <w:tc>
          <w:tcPr>
            <w:tcW w:type="dxa" w:w="2880"/>
          </w:tcPr>
          <w:p>
            <w:r>
              <w:t>Validate Integration with Synverse handles unrecognized codes in PRR input</w:t>
            </w:r>
          </w:p>
        </w:tc>
        <w:tc>
          <w:tcPr>
            <w:tcW w:type="dxa" w:w="2880"/>
          </w:tcPr>
          <w:p>
            <w:r>
              <w:t>P2</w:t>
            </w:r>
          </w:p>
        </w:tc>
      </w:tr>
      <w:tr>
        <w:tc>
          <w:tcPr>
            <w:tcW w:type="dxa" w:w="2880"/>
          </w:tcPr>
          <w:p>
            <w:r>
              <w:t>TC11</w:t>
            </w:r>
          </w:p>
        </w:tc>
        <w:tc>
          <w:tcPr>
            <w:tcW w:type="dxa" w:w="2880"/>
          </w:tcPr>
          <w:p>
            <w:r>
              <w:t>Negative: Validate Integration with Synverse rejected for Hotlined MDN</w:t>
            </w:r>
          </w:p>
        </w:tc>
        <w:tc>
          <w:tcPr>
            <w:tcW w:type="dxa" w:w="2880"/>
          </w:tcPr>
          <w:p>
            <w:r>
              <w:t>P2</w:t>
            </w:r>
          </w:p>
        </w:tc>
      </w:tr>
      <w:tr>
        <w:tc>
          <w:tcPr>
            <w:tcW w:type="dxa" w:w="2880"/>
          </w:tcPr>
          <w:p>
            <w:r>
              <w:t>TC12</w:t>
            </w:r>
          </w:p>
        </w:tc>
        <w:tc>
          <w:tcPr>
            <w:tcW w:type="dxa" w:w="2880"/>
          </w:tcPr>
          <w:p>
            <w:r>
              <w:t>Negative: Validate Integration with Synverse rejected for Deactivated MDN</w:t>
            </w:r>
          </w:p>
        </w:tc>
        <w:tc>
          <w:tcPr>
            <w:tcW w:type="dxa" w:w="2880"/>
          </w:tcPr>
          <w:p>
            <w:r>
              <w:t>P2</w:t>
            </w:r>
          </w:p>
        </w:tc>
      </w:tr>
      <w:tr>
        <w:tc>
          <w:tcPr>
            <w:tcW w:type="dxa" w:w="2880"/>
          </w:tcPr>
          <w:p>
            <w:r>
              <w:t>TC13</w:t>
            </w:r>
          </w:p>
        </w:tc>
        <w:tc>
          <w:tcPr>
            <w:tcW w:type="dxa" w:w="2880"/>
          </w:tcPr>
          <w:p>
            <w:r>
              <w:t>Negative: Validate Integration with Synverse rejected with invalid LineId</w:t>
            </w:r>
          </w:p>
        </w:tc>
        <w:tc>
          <w:tcPr>
            <w:tcW w:type="dxa" w:w="2880"/>
          </w:tcPr>
          <w:p>
            <w:r>
              <w:t>P2</w:t>
            </w:r>
          </w:p>
        </w:tc>
      </w:tr>
      <w:tr>
        <w:tc>
          <w:tcPr>
            <w:tcW w:type="dxa" w:w="2880"/>
          </w:tcPr>
          <w:p>
            <w:r>
              <w:t>TC14</w:t>
            </w:r>
          </w:p>
        </w:tc>
        <w:tc>
          <w:tcPr>
            <w:tcW w:type="dxa" w:w="2880"/>
          </w:tcPr>
          <w:p>
            <w:r>
              <w:t>Negative: Validate Integration with Synverse rejected with invalid AccountId</w:t>
            </w:r>
          </w:p>
        </w:tc>
        <w:tc>
          <w:tcPr>
            <w:tcW w:type="dxa" w:w="2880"/>
          </w:tcPr>
          <w:p>
            <w:r>
              <w:t>P2</w:t>
            </w:r>
          </w:p>
        </w:tc>
      </w:tr>
      <w:tr>
        <w:tc>
          <w:tcPr>
            <w:tcW w:type="dxa" w:w="2880"/>
          </w:tcPr>
          <w:p>
            <w:r>
              <w:t>TC15</w:t>
            </w:r>
          </w:p>
        </w:tc>
        <w:tc>
          <w:tcPr>
            <w:tcW w:type="dxa" w:w="2880"/>
          </w:tcPr>
          <w:p>
            <w:r>
              <w:t>Negative: Verify Integration with Synverse handles APOLLO_NE HTTP 400</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Syniverse Register Subscriber for Verizon Activation (Residential Commercial)</w:t>
            </w:r>
          </w:p>
        </w:tc>
        <w:tc>
          <w:tcPr>
            <w:tcW w:type="dxa" w:w="2880"/>
          </w:tcPr>
          <w:p>
            <w:r>
              <w:t>P1</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complete audit trail for integration with synverse</w:t>
            </w:r>
          </w:p>
        </w:tc>
        <w:tc>
          <w:tcPr>
            <w:tcW w:type="dxa" w:w="2880"/>
          </w:tcPr>
          <w:p>
            <w:r>
              <w:t>P2</w:t>
            </w:r>
          </w:p>
        </w:tc>
      </w:tr>
      <w:tr>
        <w:tc>
          <w:tcPr>
            <w:tcW w:type="dxa" w:w="2880"/>
          </w:tcPr>
          <w:p>
            <w:r>
              <w:t>TC06</w:t>
            </w:r>
          </w:p>
        </w:tc>
        <w:tc>
          <w:tcPr>
            <w:tcW w:type="dxa" w:w="2880"/>
          </w:tcPr>
          <w:p>
            <w:r>
              <w:t>Validate Integration with Synverse recorded in Transaction History</w:t>
            </w:r>
          </w:p>
        </w:tc>
        <w:tc>
          <w:tcPr>
            <w:tcW w:type="dxa" w:w="2880"/>
          </w:tcPr>
          <w:p>
            <w:r>
              <w:t>P2</w:t>
            </w:r>
          </w:p>
        </w:tc>
      </w:tr>
      <w:tr>
        <w:tc>
          <w:tcPr>
            <w:tcW w:type="dxa" w:w="2880"/>
          </w:tcPr>
          <w:p>
            <w:r>
              <w:t>TC07</w:t>
            </w:r>
          </w:p>
        </w:tc>
        <w:tc>
          <w:tcPr>
            <w:tcW w:type="dxa" w:w="2880"/>
          </w:tcPr>
          <w:p>
            <w:r>
              <w:t>E2E: Validate complete Integration with Synverse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TC16</w:t>
            </w:r>
          </w:p>
        </w:tc>
        <w:tc>
          <w:tcPr>
            <w:tcW w:type="dxa" w:w="2880"/>
          </w:tcPr>
          <w:p>
            <w:r>
              <w:t>Validate Integration with Synverse PRR file processing through mediation pipeline</w:t>
            </w:r>
          </w:p>
        </w:tc>
        <w:tc>
          <w:tcPr>
            <w:tcW w:type="dxa" w:w="2880"/>
          </w:tcPr>
          <w:p>
            <w:r>
              <w:t>P3</w:t>
            </w:r>
          </w:p>
        </w:tc>
      </w:tr>
      <w:tr>
        <w:tc>
          <w:tcPr>
            <w:tcW w:type="dxa" w:w="2880"/>
          </w:tcPr>
          <w:p>
            <w:r>
              <w:t>TC17</w:t>
            </w:r>
          </w:p>
        </w:tc>
        <w:tc>
          <w:tcPr>
            <w:tcW w:type="dxa" w:w="2880"/>
          </w:tcPr>
          <w:p>
            <w:r>
              <w:t>Validate Integration with Synverse derivation rules applied correctly to PRR output</w:t>
            </w:r>
          </w:p>
        </w:tc>
        <w:tc>
          <w:tcPr>
            <w:tcW w:type="dxa" w:w="2880"/>
          </w:tcPr>
          <w:p>
            <w:r>
              <w:t>P3</w:t>
            </w:r>
          </w:p>
        </w:tc>
      </w:tr>
      <w:tr>
        <w:tc>
          <w:tcPr>
            <w:tcW w:type="dxa" w:w="2880"/>
          </w:tcPr>
          <w:p>
            <w:r>
              <w:t>TC18</w:t>
            </w:r>
          </w:p>
        </w:tc>
        <w:tc>
          <w:tcPr>
            <w:tcW w:type="dxa" w:w="2880"/>
          </w:tcPr>
          <w:p>
            <w:r>
              <w:t>Validate Integration with Synverse PRR output file available on SFTP</w:t>
            </w:r>
          </w:p>
        </w:tc>
        <w:tc>
          <w:tcPr>
            <w:tcW w:type="dxa" w:w="2880"/>
          </w:tcPr>
          <w:p>
            <w:r>
              <w:t>P3</w:t>
            </w:r>
          </w:p>
        </w:tc>
      </w:tr>
      <w:tr>
        <w:tc>
          <w:tcPr>
            <w:tcW w:type="dxa" w:w="2880"/>
          </w:tcPr>
          <w:p>
            <w:r>
              <w:t>TC19</w:t>
            </w:r>
          </w:p>
        </w:tc>
        <w:tc>
          <w:tcPr>
            <w:tcW w:type="dxa" w:w="2880"/>
          </w:tcPr>
          <w:p>
            <w:r>
              <w:t>Validate Integration with Synverse notification payload matches expected schema</w:t>
            </w:r>
          </w:p>
        </w:tc>
        <w:tc>
          <w:tcPr>
            <w:tcW w:type="dxa" w:w="2880"/>
          </w:tcPr>
          <w:p>
            <w:r>
              <w:t>P3</w:t>
            </w:r>
          </w:p>
        </w:tc>
      </w:tr>
      <w:tr>
        <w:tc>
          <w:tcPr>
            <w:tcW w:type="dxa" w:w="2880"/>
          </w:tcPr>
          <w:p>
            <w:r>
              <w:t>TC20</w:t>
            </w:r>
          </w:p>
        </w:tc>
        <w:tc>
          <w:tcPr>
            <w:tcW w:type="dxa" w:w="2880"/>
          </w:tcPr>
          <w:p>
            <w:r>
              <w:t>Validate _UAT_PROGRESSION_52.2_TMO_Activation_NSL is sending daypass and Roaming Tier values in Syniverse Register call</w:t>
            </w:r>
          </w:p>
        </w:tc>
        <w:tc>
          <w:tcPr>
            <w:tcW w:type="dxa" w:w="2880"/>
          </w:tcPr>
          <w:p>
            <w:r>
              <w:t>P3</w:t>
            </w:r>
          </w:p>
        </w:tc>
      </w:tr>
      <w:tr>
        <w:tc>
          <w:tcPr>
            <w:tcW w:type="dxa" w:w="2880"/>
          </w:tcPr>
          <w:p>
            <w:r>
              <w:t>TC21</w:t>
            </w:r>
          </w:p>
        </w:tc>
        <w:tc>
          <w:tcPr>
            <w:tcW w:type="dxa" w:w="2880"/>
          </w:tcPr>
          <w:p>
            <w:r>
              <w:t>Validate _TEST_UAT_52.x_MWTGPROV-3862 — Integration with Synverse (activation only)</w:t>
            </w:r>
          </w:p>
        </w:tc>
        <w:tc>
          <w:tcPr>
            <w:tcW w:type="dxa" w:w="2880"/>
          </w:tcPr>
          <w:p>
            <w:r>
              <w:t>P3</w:t>
            </w:r>
          </w:p>
        </w:tc>
      </w:tr>
      <w:tr>
        <w:tc>
          <w:tcPr>
            <w:tcW w:type="dxa" w:w="2880"/>
          </w:tcPr>
          <w:p>
            <w:r>
              <w:t>TC22</w:t>
            </w:r>
          </w:p>
        </w:tc>
        <w:tc>
          <w:tcPr>
            <w:tcW w:type="dxa" w:w="2880"/>
          </w:tcPr>
          <w:p>
            <w:r>
              <w:t xml:space="preserve">Validate Charter has engaged Syniverse to Utilize them for Interspecting the TMO Raoming Notifications and send Roaming </w:t>
            </w:r>
          </w:p>
        </w:tc>
        <w:tc>
          <w:tcPr>
            <w:tcW w:type="dxa" w:w="2880"/>
          </w:tcPr>
          <w:p>
            <w:r>
              <w:t>P3</w:t>
            </w:r>
          </w:p>
        </w:tc>
      </w:tr>
      <w:tr>
        <w:tc>
          <w:tcPr>
            <w:tcW w:type="dxa" w:w="2880"/>
          </w:tcPr>
          <w:p>
            <w:r>
              <w:t>TC23</w:t>
            </w:r>
          </w:p>
        </w:tc>
        <w:tc>
          <w:tcPr>
            <w:tcW w:type="dxa" w:w="2880"/>
          </w:tcPr>
          <w:p>
            <w:r>
              <w:t xml:space="preserve">Validate Syniverse will send a copy of any Notifications they send to customer to Charter — NSL which needed to be sent </w:t>
            </w:r>
          </w:p>
        </w:tc>
        <w:tc>
          <w:tcPr>
            <w:tcW w:type="dxa" w:w="2880"/>
          </w:tcPr>
          <w:p>
            <w:r>
              <w:t>P3</w:t>
            </w:r>
          </w:p>
        </w:tc>
      </w:tr>
      <w:tr>
        <w:tc>
          <w:tcPr>
            <w:tcW w:type="dxa" w:w="2880"/>
          </w:tcPr>
          <w:p>
            <w:r>
              <w:t>TC24</w:t>
            </w:r>
          </w:p>
        </w:tc>
        <w:tc>
          <w:tcPr>
            <w:tcW w:type="dxa" w:w="2880"/>
          </w:tcPr>
          <w:p>
            <w:r>
              <w:t xml:space="preserve">Validate Syniverse is only going to be used for Roaming Welcome messages for TMO — Global Day Pass and Standalone watch </w:t>
            </w:r>
          </w:p>
        </w:tc>
        <w:tc>
          <w:tcPr>
            <w:tcW w:type="dxa" w:w="2880"/>
          </w:tcPr>
          <w:p>
            <w:r>
              <w:t>P3</w:t>
            </w:r>
          </w:p>
        </w:tc>
      </w:tr>
      <w:tr>
        <w:tc>
          <w:tcPr>
            <w:tcW w:type="dxa" w:w="2880"/>
          </w:tcPr>
          <w:p>
            <w:r>
              <w:t>TC25</w:t>
            </w:r>
          </w:p>
        </w:tc>
        <w:tc>
          <w:tcPr>
            <w:tcW w:type="dxa" w:w="2880"/>
          </w:tcPr>
          <w:p>
            <w:r>
              <w:t>Validate The Syniverse API spec and end points we use today for VZW will remain same for TMO as well with the only chang</w:t>
            </w:r>
          </w:p>
        </w:tc>
        <w:tc>
          <w:tcPr>
            <w:tcW w:type="dxa" w:w="2880"/>
          </w:tcPr>
          <w:p>
            <w:r>
              <w:t>P3</w:t>
            </w:r>
          </w:p>
        </w:tc>
      </w:tr>
      <w:tr>
        <w:tc>
          <w:tcPr>
            <w:tcW w:type="dxa" w:w="2880"/>
          </w:tcPr>
          <w:p>
            <w:r>
              <w:t>TC26</w:t>
            </w:r>
          </w:p>
        </w:tc>
        <w:tc>
          <w:tcPr>
            <w:tcW w:type="dxa" w:w="2880"/>
          </w:tcPr>
          <w:p>
            <w:r>
              <w:t>Validate Century Report reflects Integration with Synverse correctly</w:t>
            </w:r>
          </w:p>
        </w:tc>
        <w:tc>
          <w:tcPr>
            <w:tcW w:type="dxa" w:w="2880"/>
          </w:tcPr>
          <w:p>
            <w:r>
              <w:t>P3</w:t>
            </w:r>
          </w:p>
        </w:tc>
      </w:tr>
      <w:tr>
        <w:tc>
          <w:tcPr>
            <w:tcW w:type="dxa" w:w="2880"/>
          </w:tcPr>
          <w:p>
            <w:r>
              <w:t>TC27</w:t>
            </w:r>
          </w:p>
        </w:tc>
        <w:tc>
          <w:tcPr>
            <w:tcW w:type="dxa" w:w="2880"/>
          </w:tcPr>
          <w:p>
            <w:r>
              <w:t>Validate NBOP Portal reflects Integration with Synverse correctly</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TC29</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