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MWTGPROV-3862</w:t>
            </w:r>
          </w:p>
        </w:tc>
      </w:tr>
      <w:tr>
        <w:tc>
          <w:tcPr>
            <w:tcW w:type="dxa" w:w="4320"/>
          </w:tcPr>
          <w:p>
            <w:r>
              <w:rPr>
                <w:b/>
              </w:rPr>
              <w:t>Title</w:t>
            </w:r>
          </w:p>
        </w:tc>
        <w:tc>
          <w:tcPr>
            <w:tcW w:type="dxa" w:w="4320"/>
          </w:tcPr>
          <w:p>
            <w:r>
              <w:t>[NSLNM, NENM, INTG]: New MVNO - Integration with Synverse (activation only)</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17:40</w:t>
            </w:r>
          </w:p>
        </w:tc>
      </w:tr>
    </w:tbl>
    <w:p>
      <w:pPr>
        <w:pStyle w:val="Heading1"/>
      </w:pPr>
      <w:r>
        <w:t>2. Objective</w:t>
      </w:r>
    </w:p>
    <w:p>
      <w:r>
        <w:t>Validate the [NSLNM, NENM, INTG]: New MVNO - Integration with Synverse (activation only) feature for TMO MVNO provisioning. [NSLNM,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w:t>
      </w:r>
    </w:p>
    <w:p>
      <w:pPr>
        <w:pStyle w:val="Heading1"/>
      </w:pPr>
      <w:r>
        <w:t>3. Scope &amp; Business Rules</w:t>
      </w:r>
    </w:p>
    <w:p>
      <w:r>
        <w:t>[NSLNM, NENM, INTG]: New MVNO - Integration with Syniverse (activation only)</w:t>
        <w:br/>
        <w:t>Syniverse: to handle the TMO Roaming Notifications and send Roaming Welcome messages on Charter Behalf.</w:t>
        <w:br/>
        <w:t>List of features created to make the necessary changes with in the variously NSL flows to call the necessary NE API's to integrate with the Syniverse to Add, Update, Delete charter TMO subscribers with International Features Provisioning.</w:t>
        <w:br/>
        <w:t>This feature is focuses only on Activation, and rest of the transactions are covered in PI-53.</w:t>
        <w:br/>
        <w:t>Roaming Notifications testing &amp; Welcome SMS testing are out of scope for NBO team (Similar to Verizon)</w:t>
        <w:br/>
        <w:t>Native Activation - pSIM</w:t>
        <w:br/>
        <w:t>Native Activation - eSIM</w:t>
        <w:br/>
        <w:t>Portin Activation - pSIM</w:t>
        <w:br/>
        <w:t>Portin Activation - eSIM</w:t>
        <w:br/>
        <w:t>Out of scope: Global Day Pass, Standalone Watch</w:t>
        <w:br/>
        <w:t>The Syniverse API spec and end points we use today for VZW will remain same for TMO as well with the only change being, there will be a new Customer ID that charter will need to pass to Syniverse for TMO lines to differentiate the VZW</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86</w:t>
            </w:r>
          </w:p>
        </w:tc>
      </w:tr>
      <w:tr>
        <w:tc>
          <w:tcPr>
            <w:tcW w:type="dxa" w:w="4320"/>
          </w:tcPr>
          <w:p>
            <w:r>
              <w:t>Negative Scenarios</w:t>
            </w:r>
          </w:p>
        </w:tc>
        <w:tc>
          <w:tcPr>
            <w:tcW w:type="dxa" w:w="4320"/>
          </w:tcPr>
          <w:p>
            <w:r>
              <w:t>9</w:t>
            </w:r>
          </w:p>
        </w:tc>
      </w:tr>
      <w:tr>
        <w:tc>
          <w:tcPr>
            <w:tcW w:type="dxa" w:w="4320"/>
          </w:tcPr>
          <w:p>
            <w:r>
              <w:t>Happy Path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P1=3  </w:t>
      </w:r>
      <w:r>
        <w:t xml:space="preserve">P2=10  </w:t>
      </w:r>
      <w:r>
        <w:t xml:space="preserve">P3=9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Negative: Already active line — reject duplicate activation</w:t>
            </w:r>
          </w:p>
        </w:tc>
        <w:tc>
          <w:tcPr>
            <w:tcW w:type="dxa" w:w="2880"/>
          </w:tcPr>
          <w:p>
            <w:r>
              <w:t>P1</w:t>
            </w:r>
          </w:p>
        </w:tc>
      </w:tr>
      <w:tr>
        <w:tc>
          <w:tcPr>
            <w:tcW w:type="dxa" w:w="2880"/>
          </w:tcPr>
          <w:p>
            <w:r>
              <w:t>TC02</w:t>
            </w:r>
          </w:p>
        </w:tc>
        <w:tc>
          <w:tcPr>
            <w:tcW w:type="dxa" w:w="2880"/>
          </w:tcPr>
          <w:p>
            <w:r>
              <w:t>Negative: Invalid IMEI — reject with error</w:t>
            </w:r>
          </w:p>
        </w:tc>
        <w:tc>
          <w:tcPr>
            <w:tcW w:type="dxa" w:w="2880"/>
          </w:tcPr>
          <w:p>
            <w:r>
              <w:t>P1</w:t>
            </w:r>
          </w:p>
        </w:tc>
      </w:tr>
      <w:tr>
        <w:tc>
          <w:tcPr>
            <w:tcW w:type="dxa" w:w="2880"/>
          </w:tcPr>
          <w:p>
            <w:r>
              <w:t>TC03</w:t>
            </w:r>
          </w:p>
        </w:tc>
        <w:tc>
          <w:tcPr>
            <w:tcW w:type="dxa" w:w="2880"/>
          </w:tcPr>
          <w:p>
            <w:r>
              <w:t>Negative: Upstream TMO failure — graceful handling</w:t>
            </w:r>
          </w:p>
        </w:tc>
        <w:tc>
          <w:tcPr>
            <w:tcW w:type="dxa" w:w="2880"/>
          </w:tcPr>
          <w:p>
            <w:r>
              <w:t>P1</w:t>
            </w:r>
          </w:p>
        </w:tc>
      </w:tr>
      <w:tr>
        <w:tc>
          <w:tcPr>
            <w:tcW w:type="dxa" w:w="2880"/>
          </w:tcPr>
          <w:p>
            <w:r>
              <w:t>TC08</w:t>
            </w:r>
          </w:p>
        </w:tc>
        <w:tc>
          <w:tcPr>
            <w:tcW w:type="dxa" w:w="2880"/>
          </w:tcPr>
          <w:p>
            <w:r>
              <w:t>Validate Integration with Synverse handles invalid malformed PRR records gracefully</w:t>
            </w:r>
          </w:p>
        </w:tc>
        <w:tc>
          <w:tcPr>
            <w:tcW w:type="dxa" w:w="2880"/>
          </w:tcPr>
          <w:p>
            <w:r>
              <w:t>P2</w:t>
            </w:r>
          </w:p>
        </w:tc>
      </w:tr>
      <w:tr>
        <w:tc>
          <w:tcPr>
            <w:tcW w:type="dxa" w:w="2880"/>
          </w:tcPr>
          <w:p>
            <w:r>
              <w:t>TC09</w:t>
            </w:r>
          </w:p>
        </w:tc>
        <w:tc>
          <w:tcPr>
            <w:tcW w:type="dxa" w:w="2880"/>
          </w:tcPr>
          <w:p>
            <w:r>
              <w:t>Negative: Validate Integration with Synverse rejected for Hotlined MDN</w:t>
            </w:r>
          </w:p>
        </w:tc>
        <w:tc>
          <w:tcPr>
            <w:tcW w:type="dxa" w:w="2880"/>
          </w:tcPr>
          <w:p>
            <w:r>
              <w:t>P2</w:t>
            </w:r>
          </w:p>
        </w:tc>
      </w:tr>
      <w:tr>
        <w:tc>
          <w:tcPr>
            <w:tcW w:type="dxa" w:w="2880"/>
          </w:tcPr>
          <w:p>
            <w:r>
              <w:t>TC10</w:t>
            </w:r>
          </w:p>
        </w:tc>
        <w:tc>
          <w:tcPr>
            <w:tcW w:type="dxa" w:w="2880"/>
          </w:tcPr>
          <w:p>
            <w:r>
              <w:t>Negative: Validate Integration with Synverse rejected for Deactivated MDN</w:t>
            </w:r>
          </w:p>
        </w:tc>
        <w:tc>
          <w:tcPr>
            <w:tcW w:type="dxa" w:w="2880"/>
          </w:tcPr>
          <w:p>
            <w:r>
              <w:t>P2</w:t>
            </w:r>
          </w:p>
        </w:tc>
      </w:tr>
      <w:tr>
        <w:tc>
          <w:tcPr>
            <w:tcW w:type="dxa" w:w="2880"/>
          </w:tcPr>
          <w:p>
            <w:r>
              <w:t>TC11</w:t>
            </w:r>
          </w:p>
        </w:tc>
        <w:tc>
          <w:tcPr>
            <w:tcW w:type="dxa" w:w="2880"/>
          </w:tcPr>
          <w:p>
            <w:r>
              <w:t>Negative: Validate Integration with Synverse rejected with invalid LineId</w:t>
            </w:r>
          </w:p>
        </w:tc>
        <w:tc>
          <w:tcPr>
            <w:tcW w:type="dxa" w:w="2880"/>
          </w:tcPr>
          <w:p>
            <w:r>
              <w:t>P2</w:t>
            </w:r>
          </w:p>
        </w:tc>
      </w:tr>
      <w:tr>
        <w:tc>
          <w:tcPr>
            <w:tcW w:type="dxa" w:w="2880"/>
          </w:tcPr>
          <w:p>
            <w:r>
              <w:t>TC12</w:t>
            </w:r>
          </w:p>
        </w:tc>
        <w:tc>
          <w:tcPr>
            <w:tcW w:type="dxa" w:w="2880"/>
          </w:tcPr>
          <w:p>
            <w:r>
              <w:t>Negative: Validate Integration with Synverse rejected with invalid AccountId</w:t>
            </w:r>
          </w:p>
        </w:tc>
        <w:tc>
          <w:tcPr>
            <w:tcW w:type="dxa" w:w="2880"/>
          </w:tcPr>
          <w:p>
            <w:r>
              <w:t>P2</w:t>
            </w:r>
          </w:p>
        </w:tc>
      </w:tr>
      <w:tr>
        <w:tc>
          <w:tcPr>
            <w:tcW w:type="dxa" w:w="2880"/>
          </w:tcPr>
          <w:p>
            <w:r>
              <w:t>TC13</w:t>
            </w:r>
          </w:p>
        </w:tc>
        <w:tc>
          <w:tcPr>
            <w:tcW w:type="dxa" w:w="2880"/>
          </w:tcPr>
          <w:p>
            <w:r>
              <w:t>Negative: Verify Integration with Synverse handles APOLLO_NE HTTP 400</w:t>
            </w:r>
          </w:p>
        </w:tc>
        <w:tc>
          <w:tcPr>
            <w:tcW w:type="dxa" w:w="2880"/>
          </w:tcPr>
          <w:p>
            <w:r>
              <w:t>P2</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complete audit trail for integration with synverse</w:t>
            </w:r>
          </w:p>
        </w:tc>
        <w:tc>
          <w:tcPr>
            <w:tcW w:type="dxa" w:w="2880"/>
          </w:tcPr>
          <w:p>
            <w:r>
              <w:t>P2</w:t>
            </w:r>
          </w:p>
        </w:tc>
      </w:tr>
      <w:tr>
        <w:tc>
          <w:tcPr>
            <w:tcW w:type="dxa" w:w="2880"/>
          </w:tcPr>
          <w:p>
            <w:r>
              <w:t>TC05</w:t>
            </w:r>
          </w:p>
        </w:tc>
        <w:tc>
          <w:tcPr>
            <w:tcW w:type="dxa" w:w="2880"/>
          </w:tcPr>
          <w:p>
            <w:r>
              <w:t>Validate Integration with Synverse recorded in Transaction History</w:t>
            </w:r>
          </w:p>
        </w:tc>
        <w:tc>
          <w:tcPr>
            <w:tcW w:type="dxa" w:w="2880"/>
          </w:tcPr>
          <w:p>
            <w:r>
              <w:t>P2</w:t>
            </w:r>
          </w:p>
        </w:tc>
      </w:tr>
      <w:tr>
        <w:tc>
          <w:tcPr>
            <w:tcW w:type="dxa" w:w="2880"/>
          </w:tcPr>
          <w:p>
            <w:r>
              <w:t>TC06</w:t>
            </w:r>
          </w:p>
        </w:tc>
        <w:tc>
          <w:tcPr>
            <w:tcW w:type="dxa" w:w="2880"/>
          </w:tcPr>
          <w:p>
            <w:r>
              <w:t>E2E: Validate complete Integration with Synverse flow from trigger to final verification</w:t>
            </w:r>
          </w:p>
        </w:tc>
        <w:tc>
          <w:tcPr>
            <w:tcW w:type="dxa" w:w="2880"/>
          </w:tcPr>
          <w:p>
            <w:r>
              <w:t>P2</w:t>
            </w:r>
          </w:p>
        </w:tc>
      </w:tr>
      <w:tr>
        <w:tc>
          <w:tcPr>
            <w:tcW w:type="dxa" w:w="2880"/>
          </w:tcPr>
          <w:p>
            <w:r>
              <w:t>TC07</w:t>
            </w:r>
          </w:p>
        </w:tc>
        <w:tc>
          <w:tcPr>
            <w:tcW w:type="dxa" w:w="2880"/>
          </w:tcPr>
          <w:p>
            <w:r>
              <w:t>UI Verify: Validate Deactivate result in NBOP portal</w:t>
            </w:r>
          </w:p>
        </w:tc>
        <w:tc>
          <w:tcPr>
            <w:tcW w:type="dxa" w:w="2880"/>
          </w:tcPr>
          <w:p>
            <w:r>
              <w:t>P2</w:t>
            </w:r>
          </w:p>
        </w:tc>
      </w:tr>
      <w:tr>
        <w:tc>
          <w:tcPr>
            <w:tcW w:type="dxa" w:w="2880"/>
          </w:tcPr>
          <w:p>
            <w:r>
              <w:t>TC14</w:t>
            </w:r>
          </w:p>
        </w:tc>
        <w:tc>
          <w:tcPr>
            <w:tcW w:type="dxa" w:w="2880"/>
          </w:tcPr>
          <w:p>
            <w:r>
              <w:t>Validate Integration with Synverse PRR file processing through mediation pipeline</w:t>
            </w:r>
          </w:p>
        </w:tc>
        <w:tc>
          <w:tcPr>
            <w:tcW w:type="dxa" w:w="2880"/>
          </w:tcPr>
          <w:p>
            <w:r>
              <w:t>P3</w:t>
            </w:r>
          </w:p>
        </w:tc>
      </w:tr>
      <w:tr>
        <w:tc>
          <w:tcPr>
            <w:tcW w:type="dxa" w:w="2880"/>
          </w:tcPr>
          <w:p>
            <w:r>
              <w:t>TC15</w:t>
            </w:r>
          </w:p>
        </w:tc>
        <w:tc>
          <w:tcPr>
            <w:tcW w:type="dxa" w:w="2880"/>
          </w:tcPr>
          <w:p>
            <w:r>
              <w:t>Validate Integration with Synverse derivation rules applied correctly to PRR output</w:t>
            </w:r>
          </w:p>
        </w:tc>
        <w:tc>
          <w:tcPr>
            <w:tcW w:type="dxa" w:w="2880"/>
          </w:tcPr>
          <w:p>
            <w:r>
              <w:t>P3</w:t>
            </w:r>
          </w:p>
        </w:tc>
      </w:tr>
      <w:tr>
        <w:tc>
          <w:tcPr>
            <w:tcW w:type="dxa" w:w="2880"/>
          </w:tcPr>
          <w:p>
            <w:r>
              <w:t>TC16</w:t>
            </w:r>
          </w:p>
        </w:tc>
        <w:tc>
          <w:tcPr>
            <w:tcW w:type="dxa" w:w="2880"/>
          </w:tcPr>
          <w:p>
            <w:r>
              <w:t>Validate Integration with Synverse notification payload matches expected schema</w:t>
            </w:r>
          </w:p>
        </w:tc>
        <w:tc>
          <w:tcPr>
            <w:tcW w:type="dxa" w:w="2880"/>
          </w:tcPr>
          <w:p>
            <w:r>
              <w:t>P3</w:t>
            </w:r>
          </w:p>
        </w:tc>
      </w:tr>
      <w:tr>
        <w:tc>
          <w:tcPr>
            <w:tcW w:type="dxa" w:w="2880"/>
          </w:tcPr>
          <w:p>
            <w:r>
              <w:t>TC17</w:t>
            </w:r>
          </w:p>
        </w:tc>
        <w:tc>
          <w:tcPr>
            <w:tcW w:type="dxa" w:w="2880"/>
          </w:tcPr>
          <w:p>
            <w:r>
              <w:t>Validate TMO_Activation_NSL is sending daypass and Roaming Tier values in Syniverse Register call</w:t>
            </w:r>
          </w:p>
        </w:tc>
        <w:tc>
          <w:tcPr>
            <w:tcW w:type="dxa" w:w="2880"/>
          </w:tcPr>
          <w:p>
            <w:r>
              <w:t>P3</w:t>
            </w:r>
          </w:p>
        </w:tc>
      </w:tr>
      <w:tr>
        <w:tc>
          <w:tcPr>
            <w:tcW w:type="dxa" w:w="2880"/>
          </w:tcPr>
          <w:p>
            <w:r>
              <w:t>TC18</w:t>
            </w:r>
          </w:p>
        </w:tc>
        <w:tc>
          <w:tcPr>
            <w:tcW w:type="dxa" w:w="2880"/>
          </w:tcPr>
          <w:p>
            <w:r>
              <w:t>Validate TEST_UAT_52.x_MWTGPROV-3862 — Integration with Synverse (activation only)</w:t>
            </w:r>
          </w:p>
        </w:tc>
        <w:tc>
          <w:tcPr>
            <w:tcW w:type="dxa" w:w="2880"/>
          </w:tcPr>
          <w:p>
            <w:r>
              <w:t>P3</w:t>
            </w:r>
          </w:p>
        </w:tc>
      </w:tr>
      <w:tr>
        <w:tc>
          <w:tcPr>
            <w:tcW w:type="dxa" w:w="2880"/>
          </w:tcPr>
          <w:p>
            <w:r>
              <w:t>TC19</w:t>
            </w:r>
          </w:p>
        </w:tc>
        <w:tc>
          <w:tcPr>
            <w:tcW w:type="dxa" w:w="2880"/>
          </w:tcPr>
          <w:p>
            <w:r>
              <w:t>Validate Century Report reflects Integration with Synverse correctly</w:t>
            </w:r>
          </w:p>
        </w:tc>
        <w:tc>
          <w:tcPr>
            <w:tcW w:type="dxa" w:w="2880"/>
          </w:tcPr>
          <w:p>
            <w:r>
              <w:t>P3</w:t>
            </w:r>
          </w:p>
        </w:tc>
      </w:tr>
      <w:tr>
        <w:tc>
          <w:tcPr>
            <w:tcW w:type="dxa" w:w="2880"/>
          </w:tcPr>
          <w:p>
            <w:r>
              <w:t>TC20</w:t>
            </w:r>
          </w:p>
        </w:tc>
        <w:tc>
          <w:tcPr>
            <w:tcW w:type="dxa" w:w="2880"/>
          </w:tcPr>
          <w:p>
            <w:r>
              <w:t>Validate NBOP Portal reflects Integration with Synverse correctly</w:t>
            </w:r>
          </w:p>
        </w:tc>
        <w:tc>
          <w:tcPr>
            <w:tcW w:type="dxa" w:w="2880"/>
          </w:tcPr>
          <w:p>
            <w:r>
              <w:t>P3</w:t>
            </w:r>
          </w:p>
        </w:tc>
      </w:tr>
      <w:tr>
        <w:tc>
          <w:tcPr>
            <w:tcW w:type="dxa" w:w="2880"/>
          </w:tcPr>
          <w:p>
            <w:r>
              <w:t>TC21</w:t>
            </w:r>
          </w:p>
        </w:tc>
        <w:tc>
          <w:tcPr>
            <w:tcW w:type="dxa" w:w="2880"/>
          </w:tcPr>
          <w:p>
            <w:r>
              <w:t>UI Verify: Validate Activate result in NBOP portal</w:t>
            </w:r>
          </w:p>
        </w:tc>
        <w:tc>
          <w:tcPr>
            <w:tcW w:type="dxa" w:w="2880"/>
          </w:tcPr>
          <w:p>
            <w:r>
              <w:t>P3</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TC22</w:t>
            </w:r>
          </w:p>
        </w:tc>
        <w:tc>
          <w:tcPr>
            <w:tcW w:type="dxa" w:w="2880"/>
          </w:tcPr>
          <w:p>
            <w:r>
              <w:t>Validate Integration with Synverse notification suppression rules</w:t>
            </w:r>
          </w:p>
        </w:tc>
        <w:tc>
          <w:tcPr>
            <w:tcW w:type="dxa" w:w="2880"/>
          </w:tcPr>
          <w:p>
            <w:r>
              <w:t>P3</w:t>
            </w:r>
          </w:p>
        </w:tc>
      </w:tr>
    </w:tbl>
    <w:p>
      <w:pPr>
        <w:pStyle w:val="Heading1"/>
      </w:pPr>
      <w:r>
        <w:t>7. Data Sources</w:t>
      </w:r>
    </w:p>
    <w:p>
      <w:pPr>
        <w:pStyle w:val="ListBullet"/>
      </w:pPr>
      <w:r>
        <w:t>Jira: MWTGPROV-3862 (Description, AC, Labels, Links)</w:t>
      </w:r>
    </w:p>
    <w:p>
      <w:pPr>
        <w:pStyle w:val="ListBullet"/>
      </w:pPr>
      <w:r>
        <w:t>Jira Subtasks: 4 subtasks scanned</w:t>
      </w:r>
    </w:p>
    <w:p>
      <w:pPr>
        <w:pStyle w:val="ListBullet"/>
      </w:pPr>
      <w:r>
        <w:t>Chalk: MWTGPROV-3862 section (1 scenarios)</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