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Remove link to Ocs event history for TMO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14:43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Remove link to Ocs event history for TMO feature for TMO MVNO provisioning. MWTGPROV-3964</w:t>
        <w:br/>
        <w:t>[NBOP, INTG]: New MVNO - Remove link to Ocs event history for TMO</w:t>
        <w:br/>
      </w:r>
    </w:p>
    <w:p>
      <w:pPr>
        <w:pStyle w:val="Heading1"/>
      </w:pPr>
      <w:r>
        <w:t>3. Scope &amp; Business Rules</w:t>
      </w:r>
    </w:p>
    <w:p>
      <w:r>
        <w:t>MWTGPROV-3964</w:t>
        <w:br/>
        <w:t>[NBOP, INTG]: New MVNO - Remove link to Ocs event history for TMO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Architects justification: Even in VZW, this is specific to OCS where they send 5% notification. We don't have such concept in TMO, so it should be removed..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P3=1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Check NBOP to confirm that there are no OCS usage events for TMO subscribers.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In VZW, there are OCS usage notifications sent for every 5% of usage consumed.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Confirm that when the Notification history is available on NBOP that the OCS Events tab is removed.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Remove link to Ocs event history for TMO notification payload matches expected sc.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Remove link to Ocs event history for TMO notification suppression rules.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MWTGPROV-3964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MWTGPROV-3964 section (3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