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MWTGPROV-3969</w:t>
            </w:r>
          </w:p>
        </w:tc>
      </w:tr>
      <w:tr>
        <w:tc>
          <w:tcPr>
            <w:tcW w:type="dxa" w:w="4320"/>
          </w:tcPr>
          <w:p>
            <w:r>
              <w:rPr>
                <w:b/>
              </w:rPr>
              <w:t>Title</w:t>
            </w:r>
          </w:p>
        </w:tc>
        <w:tc>
          <w:tcPr>
            <w:tcW w:type="dxa" w:w="4320"/>
          </w:tcPr>
          <w:p>
            <w:r>
              <w:t>[NBOP, NSL, MED, INTG]: New MVNO - Mediation Subscriber Info</w:t>
            </w:r>
          </w:p>
        </w:tc>
      </w:tr>
      <w:tr>
        <w:tc>
          <w:tcPr>
            <w:tcW w:type="dxa" w:w="4320"/>
          </w:tcPr>
          <w:p>
            <w:r>
              <w:rPr>
                <w:b/>
              </w:rPr>
              <w:t>PI</w:t>
            </w:r>
          </w:p>
        </w:tc>
        <w:tc>
          <w:tcPr>
            <w:tcW w:type="dxa" w:w="4320"/>
          </w:tcPr>
          <w:p>
            <w:r>
              <w:t>PI-53</w:t>
            </w:r>
          </w:p>
        </w:tc>
      </w:tr>
      <w:tr>
        <w:tc>
          <w:tcPr>
            <w:tcW w:type="dxa" w:w="4320"/>
          </w:tcPr>
          <w:p>
            <w:r>
              <w:rPr>
                <w:b/>
              </w:rPr>
              <w:t>Status</w:t>
            </w:r>
          </w:p>
        </w:tc>
        <w:tc>
          <w:tcPr>
            <w:tcW w:type="dxa" w:w="4320"/>
          </w:tcPr>
          <w:p>
            <w:r>
              <w:t>Dev Complete</w:t>
            </w:r>
          </w:p>
        </w:tc>
      </w:tr>
      <w:tr>
        <w:tc>
          <w:tcPr>
            <w:tcW w:type="dxa" w:w="4320"/>
          </w:tcPr>
          <w:p>
            <w:r>
              <w:rPr>
                <w:b/>
              </w:rPr>
              <w:t>Priority</w:t>
            </w:r>
          </w:p>
        </w:tc>
        <w:tc>
          <w:tcPr>
            <w:tcW w:type="dxa" w:w="4320"/>
          </w:tcPr>
          <w:p>
            <w:r>
              <w:t>Critical/High</w:t>
            </w:r>
          </w:p>
        </w:tc>
      </w:tr>
      <w:tr>
        <w:tc>
          <w:tcPr>
            <w:tcW w:type="dxa" w:w="4320"/>
          </w:tcPr>
          <w:p>
            <w:r>
              <w:rPr>
                <w:b/>
              </w:rPr>
              <w:t>Assignee</w:t>
            </w:r>
          </w:p>
        </w:tc>
        <w:tc>
          <w:tcPr>
            <w:tcW w:type="dxa" w:w="4320"/>
          </w:tcPr>
          <w:p>
            <w:r>
              <w:t>Yerra, Bijay</w:t>
            </w:r>
          </w:p>
        </w:tc>
      </w:tr>
      <w:tr>
        <w:tc>
          <w:tcPr>
            <w:tcW w:type="dxa" w:w="4320"/>
          </w:tcPr>
          <w:p>
            <w:r>
              <w:rPr>
                <w:b/>
              </w:rPr>
              <w:t>Channel</w:t>
            </w:r>
          </w:p>
        </w:tc>
        <w:tc>
          <w:tcPr>
            <w:tcW w:type="dxa" w:w="4320"/>
          </w:tcPr>
          <w:p>
            <w:r>
              <w:t>ITMBO, NBOP</w:t>
            </w:r>
          </w:p>
        </w:tc>
      </w:tr>
      <w:tr>
        <w:tc>
          <w:tcPr>
            <w:tcW w:type="dxa" w:w="4320"/>
          </w:tcPr>
          <w:p>
            <w:r>
              <w:rPr>
                <w:b/>
              </w:rPr>
              <w:t>Labels</w:t>
            </w:r>
          </w:p>
        </w:tc>
        <w:tc>
          <w:tcPr>
            <w:tcW w:type="dxa" w:w="4320"/>
          </w:tcPr>
          <w:p>
            <w:r>
              <w:t>CHPROJECT-18431, PI-53, RefE, TMO_MVP, bpo</w:t>
            </w:r>
          </w:p>
        </w:tc>
      </w:tr>
      <w:tr>
        <w:tc>
          <w:tcPr>
            <w:tcW w:type="dxa" w:w="4320"/>
          </w:tcPr>
          <w:p>
            <w:r>
              <w:rPr>
                <w:b/>
              </w:rPr>
              <w:t>Generated</w:t>
            </w:r>
          </w:p>
        </w:tc>
        <w:tc>
          <w:tcPr>
            <w:tcW w:type="dxa" w:w="4320"/>
          </w:tcPr>
          <w:p>
            <w:r>
              <w:t>2026-04-17 09:19</w:t>
            </w:r>
          </w:p>
        </w:tc>
      </w:tr>
    </w:tbl>
    <w:p>
      <w:pPr>
        <w:pStyle w:val="Heading1"/>
      </w:pPr>
      <w:r>
        <w:t>2. Objective</w:t>
      </w:r>
    </w:p>
    <w:p>
      <w:r>
        <w:t>Validate the [NBOP, NSL, MED, INTG]: New MVNO - Mediation Subscriber Info feature for TMO MVNO provisioning. [NBOP, NSL, MED, INTG]: New MVNO - Mediation Subscriber Info</w:t>
        <w:br/>
        <w:t>MWTGPROV-3970</w:t>
        <w:br/>
        <w:t>[NBOP, NSL, MED, INTG]: New MVNO - Mediation Subscriber History</w:t>
        <w:br/>
        <w:t>The current change enhances the NBOP UI behavior when users access mediation details for subscribers. Currently the NBOP UI supports viewing the subscriber mediation information screen and the subscriber mediation history screen for VZW subscribers when the Mediation Details menu item is clicked, but these views are not available or not fully supported for TM</w:t>
      </w:r>
    </w:p>
    <w:p>
      <w:pPr>
        <w:pStyle w:val="Heading1"/>
      </w:pPr>
      <w:r>
        <w:t>3. Scope &amp; Business Rules</w:t>
      </w:r>
    </w:p>
    <w:p>
      <w:r>
        <w:t>[NBOP, NSL, MED, INTG]: New MVNO - Mediation Subscriber Info</w:t>
        <w:br/>
        <w:t>MWTGPROV-3970</w:t>
        <w:br/>
        <w:t>[NBOP, NSL, MED, INTG]: New MVNO - Mediation Subscriber History</w:t>
        <w:br/>
        <w:t>The current change enhances the NBOP UI behavior when users access mediation details for subscribers. Currently the NBOP UI supports viewing the subscriber mediation information screen and the subscriber mediation history screen for VZW subscribers when the Mediation Details menu item is clicked, but these views are not available or not fully supported for TMO subscribers. Now when a user clicks Mediation Details for either a TMO or VZW subscriber, the system will display the detailed subscriber mediation information and mediation history screens, with all fields strictly read-only so that no data can be modified through the UI. This behavior is triggered by the UI action of selecting the Mediation Details menu item for a given subscriber and involves the NBOP UI presentation layer and the backend services or APIs that retrieve mediation information</w:t>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27</w:t>
            </w:r>
          </w:p>
        </w:tc>
      </w:tr>
      <w:tr>
        <w:tc>
          <w:tcPr>
            <w:tcW w:type="dxa" w:w="4320"/>
          </w:tcPr>
          <w:p>
            <w:r>
              <w:t>Total Test Steps</w:t>
            </w:r>
          </w:p>
        </w:tc>
        <w:tc>
          <w:tcPr>
            <w:tcW w:type="dxa" w:w="4320"/>
          </w:tcPr>
          <w:p>
            <w:r>
              <w:t>89</w:t>
            </w:r>
          </w:p>
        </w:tc>
      </w:tr>
      <w:tr>
        <w:tc>
          <w:tcPr>
            <w:tcW w:type="dxa" w:w="4320"/>
          </w:tcPr>
          <w:p>
            <w:r>
              <w:t>Happy Path Scenarios</w:t>
            </w:r>
          </w:p>
        </w:tc>
        <w:tc>
          <w:tcPr>
            <w:tcW w:type="dxa" w:w="4320"/>
          </w:tcPr>
          <w:p>
            <w:r>
              <w:t>18</w:t>
            </w:r>
          </w:p>
        </w:tc>
      </w:tr>
      <w:tr>
        <w:tc>
          <w:tcPr>
            <w:tcW w:type="dxa" w:w="4320"/>
          </w:tcPr>
          <w:p>
            <w:r>
              <w:t>Negative Scenarios</w:t>
            </w:r>
          </w:p>
        </w:tc>
        <w:tc>
          <w:tcPr>
            <w:tcW w:type="dxa" w:w="4320"/>
          </w:tcPr>
          <w:p>
            <w:r>
              <w:t>6</w:t>
            </w:r>
          </w:p>
        </w:tc>
      </w:tr>
      <w:tr>
        <w:tc>
          <w:tcPr>
            <w:tcW w:type="dxa" w:w="4320"/>
          </w:tcPr>
          <w:p>
            <w:r>
              <w:t>Edge Case Scenarios</w:t>
            </w:r>
          </w:p>
        </w:tc>
        <w:tc>
          <w:tcPr>
            <w:tcW w:type="dxa" w:w="4320"/>
          </w:tcPr>
          <w:p>
            <w:r>
              <w:t>2</w:t>
            </w:r>
          </w:p>
        </w:tc>
      </w:tr>
      <w:tr>
        <w:tc>
          <w:tcPr>
            <w:tcW w:type="dxa" w:w="4320"/>
          </w:tcPr>
          <w:p>
            <w:r>
              <w:t>Regression Scenarios</w:t>
            </w:r>
          </w:p>
        </w:tc>
        <w:tc>
          <w:tcPr>
            <w:tcW w:type="dxa" w:w="4320"/>
          </w:tcPr>
          <w:p>
            <w:r>
              <w:t>1</w:t>
            </w:r>
          </w:p>
        </w:tc>
      </w:tr>
    </w:tbl>
    <w:p/>
    <w:p>
      <w:r>
        <w:rPr>
          <w:b/>
        </w:rPr>
        <w:t xml:space="preserve">Priority Distribution: </w:t>
      </w:r>
      <w:r>
        <w:t xml:space="preserve">P1=5  </w:t>
      </w:r>
      <w:r>
        <w:t xml:space="preserve">P2=9  </w:t>
      </w:r>
      <w:r>
        <w:t xml:space="preserve">P3=13  </w:t>
      </w:r>
    </w:p>
    <w:p>
      <w:pPr>
        <w:pStyle w:val="Heading1"/>
      </w:pPr>
      <w:r>
        <w:t>6. Test Scenarios</w:t>
      </w:r>
    </w:p>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Validate Successful display of subscriber mediation information for a TMO subscriber under valid subscriber and availabl</w:t>
            </w:r>
          </w:p>
        </w:tc>
        <w:tc>
          <w:tcPr>
            <w:tcW w:type="dxa" w:w="2880"/>
          </w:tcPr>
          <w:p>
            <w:r>
              <w:t>P1</w:t>
            </w:r>
          </w:p>
        </w:tc>
      </w:tr>
      <w:tr>
        <w:tc>
          <w:tcPr>
            <w:tcW w:type="dxa" w:w="2880"/>
          </w:tcPr>
          <w:p>
            <w:r>
              <w:t>TC02</w:t>
            </w:r>
          </w:p>
        </w:tc>
        <w:tc>
          <w:tcPr>
            <w:tcW w:type="dxa" w:w="2880"/>
          </w:tcPr>
          <w:p>
            <w:r>
              <w:t>Validate Successful display of subscriber mediation history for a TMO subscriber under multiple historical mediation eve</w:t>
            </w:r>
          </w:p>
        </w:tc>
        <w:tc>
          <w:tcPr>
            <w:tcW w:type="dxa" w:w="2880"/>
          </w:tcPr>
          <w:p>
            <w:r>
              <w:t>P1</w:t>
            </w:r>
          </w:p>
        </w:tc>
      </w:tr>
      <w:tr>
        <w:tc>
          <w:tcPr>
            <w:tcW w:type="dxa" w:w="2880"/>
          </w:tcPr>
          <w:p>
            <w:r>
              <w:t>TC03</w:t>
            </w:r>
          </w:p>
        </w:tc>
        <w:tc>
          <w:tcPr>
            <w:tcW w:type="dxa" w:w="2880"/>
          </w:tcPr>
          <w:p>
            <w:r>
              <w:t>Validate Successful display of subscriber mediation information for a TMO subscriber with single historical record but v</w:t>
            </w:r>
          </w:p>
        </w:tc>
        <w:tc>
          <w:tcPr>
            <w:tcW w:type="dxa" w:w="2880"/>
          </w:tcPr>
          <w:p>
            <w:r>
              <w:t>P1</w:t>
            </w:r>
          </w:p>
        </w:tc>
      </w:tr>
      <w:tr>
        <w:tc>
          <w:tcPr>
            <w:tcW w:type="dxa" w:w="2880"/>
          </w:tcPr>
          <w:p>
            <w:r>
              <w:t>TC06</w:t>
            </w:r>
          </w:p>
        </w:tc>
        <w:tc>
          <w:tcPr>
            <w:tcW w:type="dxa" w:w="2880"/>
          </w:tcPr>
          <w:p>
            <w:r>
              <w:t>Verify Mediation Subscriber Info completes successfully with valid inputs via Mediation pi</w:t>
            </w:r>
          </w:p>
        </w:tc>
        <w:tc>
          <w:tcPr>
            <w:tcW w:type="dxa" w:w="2880"/>
          </w:tcPr>
          <w:p>
            <w:r>
              <w:t>P2</w:t>
            </w:r>
          </w:p>
        </w:tc>
      </w:tr>
      <w:tr>
        <w:tc>
          <w:tcPr>
            <w:tcW w:type="dxa" w:w="2880"/>
          </w:tcPr>
          <w:p>
            <w:r>
              <w:t>TC07</w:t>
            </w:r>
          </w:p>
        </w:tc>
        <w:tc>
          <w:tcPr>
            <w:tcW w:type="dxa" w:w="2880"/>
          </w:tcPr>
          <w:p>
            <w:r>
              <w:t>Validate Mediation Subscriber Info through NBOP</w:t>
            </w:r>
          </w:p>
        </w:tc>
        <w:tc>
          <w:tcPr>
            <w:tcW w:type="dxa" w:w="2880"/>
          </w:tcPr>
          <w:p>
            <w:r>
              <w:t>P2</w:t>
            </w:r>
          </w:p>
        </w:tc>
      </w:tr>
      <w:tr>
        <w:tc>
          <w:tcPr>
            <w:tcW w:type="dxa" w:w="2880"/>
          </w:tcPr>
          <w:p>
            <w:r>
              <w:t>TC08</w:t>
            </w:r>
          </w:p>
        </w:tc>
        <w:tc>
          <w:tcPr>
            <w:tcW w:type="dxa" w:w="2880"/>
          </w:tcPr>
          <w:p>
            <w:r>
              <w:t>Validate The TMO CRUD API workflow has different setup than existing VZN API workflows in EMM setup. Mediation is expect</w:t>
            </w:r>
          </w:p>
        </w:tc>
        <w:tc>
          <w:tcPr>
            <w:tcW w:type="dxa" w:w="2880"/>
          </w:tcPr>
          <w:p>
            <w:r>
              <w:t>P2</w:t>
            </w:r>
          </w:p>
        </w:tc>
      </w:tr>
      <w:tr>
        <w:tc>
          <w:tcPr>
            <w:tcW w:type="dxa" w:w="2880"/>
          </w:tcPr>
          <w:p>
            <w:r>
              <w:t>TC15</w:t>
            </w:r>
          </w:p>
        </w:tc>
        <w:tc>
          <w:tcPr>
            <w:tcW w:type="dxa" w:w="2880"/>
          </w:tcPr>
          <w:p>
            <w:r>
              <w:t>Verify Syniverse is NOT called during Mediation Subscriber Info</w:t>
            </w:r>
          </w:p>
        </w:tc>
        <w:tc>
          <w:tcPr>
            <w:tcW w:type="dxa" w:w="2880"/>
          </w:tcPr>
          <w:p>
            <w:r>
              <w:t>P3</w:t>
            </w:r>
          </w:p>
        </w:tc>
      </w:tr>
      <w:tr>
        <w:tc>
          <w:tcPr>
            <w:tcW w:type="dxa" w:w="2880"/>
          </w:tcPr>
          <w:p>
            <w:r>
              <w:t>TC16</w:t>
            </w:r>
          </w:p>
        </w:tc>
        <w:tc>
          <w:tcPr>
            <w:tcW w:type="dxa" w:w="2880"/>
          </w:tcPr>
          <w:p>
            <w:r>
              <w:t>Verify Mediation is NOT called during Mediation Subscriber Info</w:t>
            </w:r>
          </w:p>
        </w:tc>
        <w:tc>
          <w:tcPr>
            <w:tcW w:type="dxa" w:w="2880"/>
          </w:tcPr>
          <w:p>
            <w:r>
              <w:t>P3</w:t>
            </w:r>
          </w:p>
        </w:tc>
      </w:tr>
      <w:tr>
        <w:tc>
          <w:tcPr>
            <w:tcW w:type="dxa" w:w="2880"/>
          </w:tcPr>
          <w:p>
            <w:r>
              <w:t>TC17</w:t>
            </w:r>
          </w:p>
        </w:tc>
        <w:tc>
          <w:tcPr>
            <w:tcW w:type="dxa" w:w="2880"/>
          </w:tcPr>
          <w:p>
            <w:r>
              <w:t>Verify Amdocs SFTP is NOT called during Mediation Subscriber Info</w:t>
            </w:r>
          </w:p>
        </w:tc>
        <w:tc>
          <w:tcPr>
            <w:tcW w:type="dxa" w:w="2880"/>
          </w:tcPr>
          <w:p>
            <w:r>
              <w:t>P3</w:t>
            </w:r>
          </w:p>
        </w:tc>
      </w:tr>
      <w:tr>
        <w:tc>
          <w:tcPr>
            <w:tcW w:type="dxa" w:w="2880"/>
          </w:tcPr>
          <w:p>
            <w:r>
              <w:t>TC18</w:t>
            </w:r>
          </w:p>
        </w:tc>
        <w:tc>
          <w:tcPr>
            <w:tcW w:type="dxa" w:w="2880"/>
          </w:tcPr>
          <w:p>
            <w:r>
              <w:t>Verify NSL DB state is consistent after successful Mediation Subscriber Info</w:t>
            </w:r>
          </w:p>
        </w:tc>
        <w:tc>
          <w:tcPr>
            <w:tcW w:type="dxa" w:w="2880"/>
          </w:tcPr>
          <w:p>
            <w:r>
              <w:t>P3</w:t>
            </w:r>
          </w:p>
        </w:tc>
      </w:tr>
      <w:tr>
        <w:tc>
          <w:tcPr>
            <w:tcW w:type="dxa" w:w="2880"/>
          </w:tcPr>
          <w:p>
            <w:r>
              <w:t>TC19</w:t>
            </w:r>
          </w:p>
        </w:tc>
        <w:tc>
          <w:tcPr>
            <w:tcW w:type="dxa" w:w="2880"/>
          </w:tcPr>
          <w:p>
            <w:r>
              <w:t>Validate Device Information section updates after Mediation Subscriber Info</w:t>
            </w:r>
          </w:p>
        </w:tc>
        <w:tc>
          <w:tcPr>
            <w:tcW w:type="dxa" w:w="2880"/>
          </w:tcPr>
          <w:p>
            <w:r>
              <w:t>P3</w:t>
            </w:r>
          </w:p>
        </w:tc>
      </w:tr>
      <w:tr>
        <w:tc>
          <w:tcPr>
            <w:tcW w:type="dxa" w:w="2880"/>
          </w:tcPr>
          <w:p>
            <w:r>
              <w:t>TC20</w:t>
            </w:r>
          </w:p>
        </w:tc>
        <w:tc>
          <w:tcPr>
            <w:tcW w:type="dxa" w:w="2880"/>
          </w:tcPr>
          <w:p>
            <w:r>
              <w:t>Validate Features page shows all toggles with correct state</w:t>
            </w:r>
          </w:p>
        </w:tc>
        <w:tc>
          <w:tcPr>
            <w:tcW w:type="dxa" w:w="2880"/>
          </w:tcPr>
          <w:p>
            <w:r>
              <w:t>P3</w:t>
            </w:r>
          </w:p>
        </w:tc>
      </w:tr>
      <w:tr>
        <w:tc>
          <w:tcPr>
            <w:tcW w:type="dxa" w:w="2880"/>
          </w:tcPr>
          <w:p>
            <w:r>
              <w:t>TC21</w:t>
            </w:r>
          </w:p>
        </w:tc>
        <w:tc>
          <w:tcPr>
            <w:tcW w:type="dxa" w:w="2880"/>
          </w:tcPr>
          <w:p>
            <w:r>
              <w:t>Verify Mediation Subscriber Info API response payload contains all required fields</w:t>
            </w:r>
          </w:p>
        </w:tc>
        <w:tc>
          <w:tcPr>
            <w:tcW w:type="dxa" w:w="2880"/>
          </w:tcPr>
          <w:p>
            <w:r>
              <w:t>P3</w:t>
            </w:r>
          </w:p>
        </w:tc>
      </w:tr>
      <w:tr>
        <w:tc>
          <w:tcPr>
            <w:tcW w:type="dxa" w:w="2880"/>
          </w:tcPr>
          <w:p>
            <w:r>
              <w:t>TC22</w:t>
            </w:r>
          </w:p>
        </w:tc>
        <w:tc>
          <w:tcPr>
            <w:tcW w:type="dxa" w:w="2880"/>
          </w:tcPr>
          <w:p>
            <w:r>
              <w:t>Validate The Subscriber Inquiry API works the same for TMO MDNs as for Verizon MDNs</w:t>
            </w:r>
          </w:p>
        </w:tc>
        <w:tc>
          <w:tcPr>
            <w:tcW w:type="dxa" w:w="2880"/>
          </w:tcPr>
          <w:p>
            <w:r>
              <w:t>P3</w:t>
            </w:r>
          </w:p>
        </w:tc>
      </w:tr>
      <w:tr>
        <w:tc>
          <w:tcPr>
            <w:tcW w:type="dxa" w:w="2880"/>
          </w:tcPr>
          <w:p>
            <w:r>
              <w:t>TC23</w:t>
            </w:r>
          </w:p>
        </w:tc>
        <w:tc>
          <w:tcPr>
            <w:tcW w:type="dxa" w:w="2880"/>
          </w:tcPr>
          <w:p>
            <w:r>
              <w:t>Validate As a Developer, I want to update the TMO Subscriber Inquiry API to match the Verizon configurations, so that NB</w:t>
            </w:r>
          </w:p>
        </w:tc>
        <w:tc>
          <w:tcPr>
            <w:tcW w:type="dxa" w:w="2880"/>
          </w:tcPr>
          <w:p>
            <w:r>
              <w:t>P3</w:t>
            </w:r>
          </w:p>
        </w:tc>
      </w:tr>
      <w:tr>
        <w:tc>
          <w:tcPr>
            <w:tcW w:type="dxa" w:w="2880"/>
          </w:tcPr>
          <w:p>
            <w:r>
              <w:t>TC24</w:t>
            </w:r>
          </w:p>
        </w:tc>
        <w:tc>
          <w:tcPr>
            <w:tcW w:type="dxa" w:w="2880"/>
          </w:tcPr>
          <w:p>
            <w:r>
              <w:t>Validate Mediation subscriber summary should be displayed in More options for TMO subscribers</w:t>
            </w:r>
          </w:p>
        </w:tc>
        <w:tc>
          <w:tcPr>
            <w:tcW w:type="dxa" w:w="2880"/>
          </w:tcPr>
          <w:p>
            <w:r>
              <w:t>P3</w:t>
            </w:r>
          </w:p>
        </w:tc>
      </w:tr>
      <w:tr>
        <w:tc>
          <w:tcPr>
            <w:tcW w:type="dxa" w:w="2880"/>
          </w:tcPr>
          <w:p>
            <w:r>
              <w:t>TC25</w:t>
            </w:r>
          </w:p>
        </w:tc>
        <w:tc>
          <w:tcPr>
            <w:tcW w:type="dxa" w:w="2880"/>
          </w:tcPr>
          <w:p>
            <w:r>
              <w:t>Validate Following API s are to be updated configured for TMO transactions and use Port 8499</w:t>
            </w:r>
          </w:p>
        </w:tc>
        <w:tc>
          <w:tcPr>
            <w:tcW w:type="dxa" w:w="2880"/>
          </w:tcPr>
          <w:p>
            <w:r>
              <w:t>P3</w:t>
            </w:r>
          </w:p>
        </w:tc>
      </w:tr>
      <w:tr>
        <w:tc>
          <w:tcPr>
            <w:tcW w:type="dxa" w:w="2880"/>
          </w:tcPr>
          <w:p>
            <w:r>
              <w:t>TC26</w:t>
            </w:r>
          </w:p>
        </w:tc>
        <w:tc>
          <w:tcPr>
            <w:tcW w:type="dxa" w:w="2880"/>
          </w:tcPr>
          <w:p>
            <w:r>
              <w:t>Validate fetches the response from MED. using end point provided and responds to IT MBO NBOP</w:t>
            </w:r>
          </w:p>
        </w:tc>
        <w:tc>
          <w:tcPr>
            <w:tcW w:type="dxa" w:w="2880"/>
          </w:tcPr>
          <w:p>
            <w:r>
              <w:t>P3</w:t>
            </w:r>
          </w:p>
        </w:tc>
      </w:tr>
    </w:tbl>
    <w:p>
      <w:pPr>
        <w:pStyle w:val="Heading2"/>
      </w:pPr>
      <w:r>
        <w:t>Negative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TC04</w:t>
            </w:r>
          </w:p>
        </w:tc>
        <w:tc>
          <w:tcPr>
            <w:tcW w:type="dxa" w:w="2880"/>
          </w:tcPr>
          <w:p>
            <w:r>
              <w:t>Validate When the mediation data API for a TMO subscriber fails or times out, it results in no changes to any subscriber</w:t>
            </w:r>
          </w:p>
        </w:tc>
        <w:tc>
          <w:tcPr>
            <w:tcW w:type="dxa" w:w="2880"/>
          </w:tcPr>
          <w:p>
            <w:r>
              <w:t>P1</w:t>
            </w:r>
          </w:p>
        </w:tc>
      </w:tr>
      <w:tr>
        <w:tc>
          <w:tcPr>
            <w:tcW w:type="dxa" w:w="2880"/>
          </w:tcPr>
          <w:p>
            <w:r>
              <w:t>TC05</w:t>
            </w:r>
          </w:p>
        </w:tc>
        <w:tc>
          <w:tcPr>
            <w:tcW w:type="dxa" w:w="2880"/>
          </w:tcPr>
          <w:p>
            <w:r>
              <w:t>Validate When an invalid or non-existent subscriber identifier is used to open Mediation Details</w:t>
            </w:r>
          </w:p>
        </w:tc>
        <w:tc>
          <w:tcPr>
            <w:tcW w:type="dxa" w:w="2880"/>
          </w:tcPr>
          <w:p>
            <w:r>
              <w:t>P1</w:t>
            </w:r>
          </w:p>
        </w:tc>
      </w:tr>
      <w:tr>
        <w:tc>
          <w:tcPr>
            <w:tcW w:type="dxa" w:w="2880"/>
          </w:tcPr>
          <w:p>
            <w:r>
              <w:t>TC09</w:t>
            </w:r>
          </w:p>
        </w:tc>
        <w:tc>
          <w:tcPr>
            <w:tcW w:type="dxa" w:w="2880"/>
          </w:tcPr>
          <w:p>
            <w:r>
              <w:t>Negative: Invalid MDN input — error message displayed</w:t>
            </w:r>
          </w:p>
        </w:tc>
        <w:tc>
          <w:tcPr>
            <w:tcW w:type="dxa" w:w="2880"/>
          </w:tcPr>
          <w:p>
            <w:r>
              <w:t>P2</w:t>
            </w:r>
          </w:p>
        </w:tc>
      </w:tr>
      <w:tr>
        <w:tc>
          <w:tcPr>
            <w:tcW w:type="dxa" w:w="2880"/>
          </w:tcPr>
          <w:p>
            <w:r>
              <w:t>TC10</w:t>
            </w:r>
          </w:p>
        </w:tc>
        <w:tc>
          <w:tcPr>
            <w:tcW w:type="dxa" w:w="2880"/>
          </w:tcPr>
          <w:p>
            <w:r>
              <w:t>Negative: Session timeout — graceful handling</w:t>
            </w:r>
          </w:p>
        </w:tc>
        <w:tc>
          <w:tcPr>
            <w:tcW w:type="dxa" w:w="2880"/>
          </w:tcPr>
          <w:p>
            <w:r>
              <w:t>P2</w:t>
            </w:r>
          </w:p>
        </w:tc>
      </w:tr>
      <w:tr>
        <w:tc>
          <w:tcPr>
            <w:tcW w:type="dxa" w:w="2880"/>
          </w:tcPr>
          <w:p>
            <w:r>
              <w:t>TC11</w:t>
            </w:r>
          </w:p>
        </w:tc>
        <w:tc>
          <w:tcPr>
            <w:tcW w:type="dxa" w:w="2880"/>
          </w:tcPr>
          <w:p>
            <w:r>
              <w:t>Negative: Validate Mediation Subscriber Info rejects empty submission in NBOP</w:t>
            </w:r>
          </w:p>
        </w:tc>
        <w:tc>
          <w:tcPr>
            <w:tcW w:type="dxa" w:w="2880"/>
          </w:tcPr>
          <w:p>
            <w:r>
              <w:t>P2</w:t>
            </w:r>
          </w:p>
        </w:tc>
      </w:tr>
      <w:tr>
        <w:tc>
          <w:tcPr>
            <w:tcW w:type="dxa" w:w="2880"/>
          </w:tcPr>
          <w:p>
            <w:r>
              <w:t>TC12</w:t>
            </w:r>
          </w:p>
        </w:tc>
        <w:tc>
          <w:tcPr>
            <w:tcW w:type="dxa" w:w="2880"/>
          </w:tcPr>
          <w:p>
            <w:r>
              <w:t>Negative: Verify Mediation Subscriber Info rolls back cleanly on mid-operation failure</w:t>
            </w:r>
          </w:p>
        </w:tc>
        <w:tc>
          <w:tcPr>
            <w:tcW w:type="dxa" w:w="2880"/>
          </w:tcPr>
          <w:p>
            <w:r>
              <w:t>P2</w:t>
            </w:r>
          </w:p>
        </w:tc>
      </w:tr>
    </w:tbl>
    <w:p>
      <w:pPr>
        <w:pStyle w:val="Heading2"/>
      </w:pPr>
      <w:r>
        <w:t>Edge Case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TC13</w:t>
            </w:r>
          </w:p>
        </w:tc>
        <w:tc>
          <w:tcPr>
            <w:tcW w:type="dxa" w:w="2880"/>
          </w:tcPr>
          <w:p>
            <w:r>
              <w:t>Verify Mediation Subscriber Info rejects duplicate request for same MDN within processing</w:t>
            </w:r>
          </w:p>
        </w:tc>
        <w:tc>
          <w:tcPr>
            <w:tcW w:type="dxa" w:w="2880"/>
          </w:tcPr>
          <w:p>
            <w:r>
              <w:t>P2</w:t>
            </w:r>
          </w:p>
        </w:tc>
      </w:tr>
      <w:tr>
        <w:tc>
          <w:tcPr>
            <w:tcW w:type="dxa" w:w="2880"/>
          </w:tcPr>
          <w:p>
            <w:r>
              <w:t>TC14</w:t>
            </w:r>
          </w:p>
        </w:tc>
        <w:tc>
          <w:tcPr>
            <w:tcW w:type="dxa" w:w="2880"/>
          </w:tcPr>
          <w:p>
            <w:r>
              <w:t>Edge Case: Validate Mediation Subscriber Info handles browser refresh in NBOP</w:t>
            </w:r>
          </w:p>
        </w:tc>
        <w:tc>
          <w:tcPr>
            <w:tcW w:type="dxa" w:w="2880"/>
          </w:tcPr>
          <w:p>
            <w:r>
              <w:t>P2</w:t>
            </w:r>
          </w:p>
        </w:tc>
      </w:tr>
    </w:tbl>
    <w:p>
      <w:pPr>
        <w:pStyle w:val="Heading2"/>
      </w:pPr>
      <w:r>
        <w:t>Regression</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TC27</w:t>
            </w:r>
          </w:p>
        </w:tc>
        <w:tc>
          <w:tcPr>
            <w:tcW w:type="dxa" w:w="2880"/>
          </w:tcPr>
          <w:p>
            <w:r>
              <w:t>Validate Successful display of subscriber mediation information and history for a VZW subscriber under existing BAU cond</w:t>
            </w:r>
          </w:p>
        </w:tc>
        <w:tc>
          <w:tcPr>
            <w:tcW w:type="dxa" w:w="2880"/>
          </w:tcPr>
          <w:p>
            <w:r>
              <w:t>P3</w:t>
            </w:r>
          </w:p>
        </w:tc>
      </w:tr>
    </w:tbl>
    <w:p>
      <w:pPr>
        <w:pStyle w:val="Heading1"/>
      </w:pPr>
      <w:r>
        <w:t>7. Data Sources</w:t>
      </w:r>
    </w:p>
    <w:p>
      <w:pPr>
        <w:pStyle w:val="ListBullet"/>
      </w:pPr>
      <w:r>
        <w:t>Jira: MWTGPROV-3969 (Description, AC, Labels, Links)</w:t>
      </w:r>
    </w:p>
    <w:p>
      <w:pPr>
        <w:pStyle w:val="ListBullet"/>
      </w:pPr>
      <w:r>
        <w:t>Jira Comments: 1 comments scanned</w:t>
      </w:r>
    </w:p>
    <w:p>
      <w:pPr>
        <w:pStyle w:val="ListBullet"/>
      </w:pPr>
      <w:r>
        <w:t>Jira Subtasks: 5 subtasks scanned</w:t>
      </w:r>
    </w:p>
    <w:p>
      <w:pPr>
        <w:pStyle w:val="ListBullet"/>
      </w:pPr>
      <w:r>
        <w:t>Chalk: MWTGPROV-3969 section (6 scenarios)</w:t>
      </w:r>
    </w:p>
    <w:p>
      <w:pPr>
        <w:pStyle w:val="Heading1"/>
      </w:pPr>
      <w:r>
        <w:t>9. Warnings &amp; Open Items</w:t>
      </w:r>
    </w:p>
    <w:p>
      <w:pPr>
        <w:pStyle w:val="ListBullet"/>
      </w:pPr>
      <w:r>
        <w:t>[Jira] No acceptance criteria found — traceability will be limited</w:t>
      </w:r>
    </w:p>
    <w:p>
      <w:pPr>
        <w:pStyle w:val="ListBullet"/>
      </w:pPr>
      <w:r>
        <w:t>Mandatory check missing: Hotlined MDN</w:t>
      </w:r>
    </w:p>
    <w:p>
      <w:pPr>
        <w:pStyle w:val="ListBullet"/>
      </w:pPr>
      <w:r>
        <w:t>Mandatory check missing: Suspended MDN</w:t>
      </w:r>
    </w:p>
    <w:p>
      <w:pPr>
        <w:pStyle w:val="ListBullet"/>
      </w:pPr>
      <w:r>
        <w:t>Mandatory check missing: Deactivated MDN</w:t>
      </w:r>
    </w:p>
    <w:p>
      <w:pPr>
        <w:pStyle w:val="ListBullet"/>
      </w:pPr>
      <w:r>
        <w:t>Mandatory check missing: Invalid LineId</w:t>
      </w:r>
    </w:p>
    <w:p>
      <w:pPr>
        <w:pStyle w:val="ListBullet"/>
      </w:pPr>
      <w:r>
        <w:t>Mandatory check missing: Invalid AccountId</w:t>
      </w:r>
    </w:p>
    <w:p>
      <w:pPr>
        <w:pStyle w:val="ListBullet"/>
      </w:pPr>
      <w:r>
        <w:t>Mandatory check missing: Transaction History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