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MWTGPROV-3970</w:t>
            </w:r>
          </w:p>
        </w:tc>
      </w:tr>
      <w:tr>
        <w:tc>
          <w:tcPr>
            <w:tcW w:type="dxa" w:w="4320"/>
          </w:tcPr>
          <w:p>
            <w:r>
              <w:rPr>
                <w:b/>
              </w:rPr>
              <w:t>Title</w:t>
            </w:r>
          </w:p>
        </w:tc>
        <w:tc>
          <w:tcPr>
            <w:tcW w:type="dxa" w:w="4320"/>
          </w:tcPr>
          <w:p>
            <w:r>
              <w:t>[NBOP, NSL, MED, INTG]: New MVNO - Mediation Subscriber History</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RefE, TMO_MVP, bpo</w:t>
            </w:r>
          </w:p>
        </w:tc>
      </w:tr>
      <w:tr>
        <w:tc>
          <w:tcPr>
            <w:tcW w:type="dxa" w:w="4320"/>
          </w:tcPr>
          <w:p>
            <w:r>
              <w:rPr>
                <w:b/>
              </w:rPr>
              <w:t>Generated</w:t>
            </w:r>
          </w:p>
        </w:tc>
        <w:tc>
          <w:tcPr>
            <w:tcW w:type="dxa" w:w="4320"/>
          </w:tcPr>
          <w:p>
            <w:r>
              <w:t>2026-04-17 20:57</w:t>
            </w:r>
          </w:p>
        </w:tc>
      </w:tr>
    </w:tbl>
    <w:p>
      <w:pPr>
        <w:pStyle w:val="Heading1"/>
      </w:pPr>
      <w:r>
        <w:t>2. Objective</w:t>
      </w:r>
    </w:p>
    <w:p>
      <w:r>
        <w:t>Validate the [NBOP, NSL, MED, INTG]: New MVNO - Mediation Subscriber History feature for TMO MVNO provisioning. [NBOP, NSL, MED, INTG]: New MVNO - Mediation Subscriber History</w:t>
        <w:br/>
        <w:t>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TMO subscribers. Now when a user clicks Mediation Details for either a TMO or</w:t>
      </w:r>
    </w:p>
    <w:p>
      <w:pPr>
        <w:pStyle w:val="Heading1"/>
      </w:pPr>
      <w:r>
        <w:t>3. Scope &amp; Business Rules</w:t>
      </w:r>
    </w:p>
    <w:p>
      <w:r>
        <w:t>[NBOP, NSL, MED, INTG]: New MVNO - Mediation Subscriber History</w:t>
        <w:br/>
        <w:t xml:space="preserve">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TMO subscribers. Now when a user clicks Mediation Details for either a TMO or VZW subscriber, the system will display the detailed subscriber mediation information and mediation history screens, with all fields strictly read-only so that no data can be modified through the UI. This behavior is triggered by the UI action of selecting the Mediation Details menu item for a given subscriber and involves the NBOP UI presentation layer and the backend services or APIs that retrieve mediation information and history from the underlying subscriber and mediation data sources for </w:t>
      </w:r>
    </w:p>
    <w:p>
      <w:pPr>
        <w:pStyle w:val="Heading1"/>
      </w:pPr>
      <w:r>
        <w:t>4. Acceptance Criteria</w:t>
      </w:r>
    </w:p>
    <w:p>
      <w:pPr>
        <w:pStyle w:val="ListNumber"/>
      </w:pPr>
      <w:r>
        <w:t>1. {panel:title=Functional Requirements}</w:t>
        <w:br/>
        <w:br/>
        <w:t xml:space="preserve">*NSL* </w:t>
        <w:br/>
        <w:br/>
        <w:t xml:space="preserve"> * The NSL API is able to successfully fetch the complete historical record of a subscriber from the Mediation platform using a valid search criterion.</w:t>
        <w:br/>
        <w:br/>
        <w:t xml:space="preserve"> * The Subscriber History API for TMO is integrated to work on flow where the new mediation port change is implemented. </w:t>
        <w:br/>
        <w:br/>
        <w:t xml:space="preserve"> * TMO Subscriber History API is now integrated with the new mediation port.</w:t>
        <w:br/>
        <w:br/>
        <w:br/>
        <w:br/>
        <w:t>*NBOP*</w:t>
        <w:br/>
        <w:br/>
        <w:t xml:space="preserve"> * NBOP is able to consume the new API and display the subscriber history.</w:t>
        <w:br/>
        <w:br/>
        <w:t xml:space="preserve"> * Successful </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27</w:t>
            </w:r>
          </w:p>
        </w:tc>
      </w:tr>
      <w:tr>
        <w:tc>
          <w:tcPr>
            <w:tcW w:type="dxa" w:w="4320"/>
          </w:tcPr>
          <w:p>
            <w:r>
              <w:t>Total Test Steps</w:t>
            </w:r>
          </w:p>
        </w:tc>
        <w:tc>
          <w:tcPr>
            <w:tcW w:type="dxa" w:w="4320"/>
          </w:tcPr>
          <w:p>
            <w:r>
              <w:t>90</w:t>
            </w:r>
          </w:p>
        </w:tc>
      </w:tr>
      <w:tr>
        <w:tc>
          <w:tcPr>
            <w:tcW w:type="dxa" w:w="4320"/>
          </w:tcPr>
          <w:p>
            <w:r>
              <w:t>Happy Path Scenarios</w:t>
            </w:r>
          </w:p>
        </w:tc>
        <w:tc>
          <w:tcPr>
            <w:tcW w:type="dxa" w:w="4320"/>
          </w:tcPr>
          <w:p>
            <w:r>
              <w:t>19</w:t>
            </w:r>
          </w:p>
        </w:tc>
      </w:tr>
      <w:tr>
        <w:tc>
          <w:tcPr>
            <w:tcW w:type="dxa" w:w="4320"/>
          </w:tcPr>
          <w:p>
            <w:r>
              <w:t>Negative Scenarios</w:t>
            </w:r>
          </w:p>
        </w:tc>
        <w:tc>
          <w:tcPr>
            <w:tcW w:type="dxa" w:w="4320"/>
          </w:tcPr>
          <w:p>
            <w:r>
              <w:t>5</w:t>
            </w:r>
          </w:p>
        </w:tc>
      </w:tr>
      <w:tr>
        <w:tc>
          <w:tcPr>
            <w:tcW w:type="dxa" w:w="4320"/>
          </w:tcPr>
          <w:p>
            <w:r>
              <w:t>Edge Case Scenarios</w:t>
            </w:r>
          </w:p>
        </w:tc>
        <w:tc>
          <w:tcPr>
            <w:tcW w:type="dxa" w:w="4320"/>
          </w:tcPr>
          <w:p>
            <w:r>
              <w:t>2</w:t>
            </w:r>
          </w:p>
        </w:tc>
      </w:tr>
      <w:tr>
        <w:tc>
          <w:tcPr>
            <w:tcW w:type="dxa" w:w="4320"/>
          </w:tcPr>
          <w:p>
            <w:r>
              <w:t>Regression Scenarios</w:t>
            </w:r>
          </w:p>
        </w:tc>
        <w:tc>
          <w:tcPr>
            <w:tcW w:type="dxa" w:w="4320"/>
          </w:tcPr>
          <w:p>
            <w:r>
              <w:t>1</w:t>
            </w:r>
          </w:p>
        </w:tc>
      </w:tr>
    </w:tbl>
    <w:p/>
    <w:p>
      <w:r>
        <w:rPr>
          <w:b/>
        </w:rPr>
        <w:t xml:space="preserve">Priority Distribution: </w:t>
      </w:r>
      <w:r>
        <w:t xml:space="preserve">P1=7  </w:t>
      </w:r>
      <w:r>
        <w:t xml:space="preserve">P2=7  </w:t>
      </w:r>
      <w:r>
        <w:t xml:space="preserve">P3=13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display of subscriber mediation information for a TMO subscriber under valid subscriber and availabl</w:t>
            </w:r>
          </w:p>
        </w:tc>
        <w:tc>
          <w:tcPr>
            <w:tcW w:type="dxa" w:w="2880"/>
          </w:tcPr>
          <w:p>
            <w:r>
              <w:t>P1</w:t>
            </w:r>
          </w:p>
        </w:tc>
      </w:tr>
      <w:tr>
        <w:tc>
          <w:tcPr>
            <w:tcW w:type="dxa" w:w="2880"/>
          </w:tcPr>
          <w:p>
            <w:r>
              <w:t>TC02</w:t>
            </w:r>
          </w:p>
        </w:tc>
        <w:tc>
          <w:tcPr>
            <w:tcW w:type="dxa" w:w="2880"/>
          </w:tcPr>
          <w:p>
            <w:r>
              <w:t>Validate Successful display of subscriber mediation history for a TMO subscriber under multiple historical mediation eve</w:t>
            </w:r>
          </w:p>
        </w:tc>
        <w:tc>
          <w:tcPr>
            <w:tcW w:type="dxa" w:w="2880"/>
          </w:tcPr>
          <w:p>
            <w:r>
              <w:t>P1</w:t>
            </w:r>
          </w:p>
        </w:tc>
      </w:tr>
      <w:tr>
        <w:tc>
          <w:tcPr>
            <w:tcW w:type="dxa" w:w="2880"/>
          </w:tcPr>
          <w:p>
            <w:r>
              <w:t>TC03</w:t>
            </w:r>
          </w:p>
        </w:tc>
        <w:tc>
          <w:tcPr>
            <w:tcW w:type="dxa" w:w="2880"/>
          </w:tcPr>
          <w:p>
            <w:r>
              <w:t>Validate Successful display of subscriber mediation information for a TMO subscriber with single historical record but v</w:t>
            </w:r>
          </w:p>
        </w:tc>
        <w:tc>
          <w:tcPr>
            <w:tcW w:type="dxa" w:w="2880"/>
          </w:tcPr>
          <w:p>
            <w:r>
              <w:t>P1</w:t>
            </w:r>
          </w:p>
        </w:tc>
      </w:tr>
      <w:tr>
        <w:tc>
          <w:tcPr>
            <w:tcW w:type="dxa" w:w="2880"/>
          </w:tcPr>
          <w:p>
            <w:r>
              <w:t>TC04</w:t>
            </w:r>
          </w:p>
        </w:tc>
        <w:tc>
          <w:tcPr>
            <w:tcW w:type="dxa" w:w="2880"/>
          </w:tcPr>
          <w:p>
            <w:r>
              <w:t>Validate This NSL API is to retrieve the subscriber (MDN) history from the Mediation platform</w:t>
            </w:r>
          </w:p>
        </w:tc>
        <w:tc>
          <w:tcPr>
            <w:tcW w:type="dxa" w:w="2880"/>
          </w:tcPr>
          <w:p>
            <w:r>
              <w:t>P1</w:t>
            </w:r>
          </w:p>
        </w:tc>
      </w:tr>
      <w:tr>
        <w:tc>
          <w:tcPr>
            <w:tcW w:type="dxa" w:w="2880"/>
          </w:tcPr>
          <w:p>
            <w:r>
              <w:t>TC05</w:t>
            </w:r>
          </w:p>
        </w:tc>
        <w:tc>
          <w:tcPr>
            <w:tcW w:type="dxa" w:w="2880"/>
          </w:tcPr>
          <w:p>
            <w:r>
              <w:t>Validate Success Criteria: NBOP should able to display the Subscriber History</w:t>
            </w:r>
          </w:p>
        </w:tc>
        <w:tc>
          <w:tcPr>
            <w:tcW w:type="dxa" w:w="2880"/>
          </w:tcPr>
          <w:p>
            <w:r>
              <w:t>P1</w:t>
            </w:r>
          </w:p>
        </w:tc>
      </w:tr>
      <w:tr>
        <w:tc>
          <w:tcPr>
            <w:tcW w:type="dxa" w:w="2880"/>
          </w:tcPr>
          <w:p>
            <w:r>
              <w:t>TC08</w:t>
            </w:r>
          </w:p>
        </w:tc>
        <w:tc>
          <w:tcPr>
            <w:tcW w:type="dxa" w:w="2880"/>
          </w:tcPr>
          <w:p>
            <w:r>
              <w:t>Verify Mediation Subscriber History completes successfully with valid inputs via Mediation</w:t>
            </w:r>
          </w:p>
        </w:tc>
        <w:tc>
          <w:tcPr>
            <w:tcW w:type="dxa" w:w="2880"/>
          </w:tcPr>
          <w:p>
            <w:r>
              <w:t>P2</w:t>
            </w:r>
          </w:p>
        </w:tc>
      </w:tr>
      <w:tr>
        <w:tc>
          <w:tcPr>
            <w:tcW w:type="dxa" w:w="2880"/>
          </w:tcPr>
          <w:p>
            <w:r>
              <w:t>TC09</w:t>
            </w:r>
          </w:p>
        </w:tc>
        <w:tc>
          <w:tcPr>
            <w:tcW w:type="dxa" w:w="2880"/>
          </w:tcPr>
          <w:p>
            <w:r>
              <w:t>Validate Mediation Subscriber History through NBOP</w:t>
            </w:r>
          </w:p>
        </w:tc>
        <w:tc>
          <w:tcPr>
            <w:tcW w:type="dxa" w:w="2880"/>
          </w:tcPr>
          <w:p>
            <w:r>
              <w:t>P2</w:t>
            </w:r>
          </w:p>
        </w:tc>
      </w:tr>
      <w:tr>
        <w:tc>
          <w:tcPr>
            <w:tcW w:type="dxa" w:w="2880"/>
          </w:tcPr>
          <w:p>
            <w:r>
              <w:t>TC10</w:t>
            </w:r>
          </w:p>
        </w:tc>
        <w:tc>
          <w:tcPr>
            <w:tcW w:type="dxa" w:w="2880"/>
          </w:tcPr>
          <w:p>
            <w:r>
              <w:t>Validate The TMO CRUD API workflow has different setup than existing VZN API workflows in EMM setup. Mediation is expect</w:t>
            </w:r>
          </w:p>
        </w:tc>
        <w:tc>
          <w:tcPr>
            <w:tcW w:type="dxa" w:w="2880"/>
          </w:tcPr>
          <w:p>
            <w:r>
              <w:t>P2</w:t>
            </w:r>
          </w:p>
        </w:tc>
      </w:tr>
      <w:tr>
        <w:tc>
          <w:tcPr>
            <w:tcW w:type="dxa" w:w="2880"/>
          </w:tcPr>
          <w:p>
            <w:r>
              <w:t>TC15</w:t>
            </w:r>
          </w:p>
        </w:tc>
        <w:tc>
          <w:tcPr>
            <w:tcW w:type="dxa" w:w="2880"/>
          </w:tcPr>
          <w:p>
            <w:r>
              <w:t>Verify Syniverse is NOT called during Mediation Subscriber History</w:t>
            </w:r>
          </w:p>
        </w:tc>
        <w:tc>
          <w:tcPr>
            <w:tcW w:type="dxa" w:w="2880"/>
          </w:tcPr>
          <w:p>
            <w:r>
              <w:t>P3</w:t>
            </w:r>
          </w:p>
        </w:tc>
      </w:tr>
      <w:tr>
        <w:tc>
          <w:tcPr>
            <w:tcW w:type="dxa" w:w="2880"/>
          </w:tcPr>
          <w:p>
            <w:r>
              <w:t>TC16</w:t>
            </w:r>
          </w:p>
        </w:tc>
        <w:tc>
          <w:tcPr>
            <w:tcW w:type="dxa" w:w="2880"/>
          </w:tcPr>
          <w:p>
            <w:r>
              <w:t>Verify Mediation is NOT called during Mediation Subscriber History</w:t>
            </w:r>
          </w:p>
        </w:tc>
        <w:tc>
          <w:tcPr>
            <w:tcW w:type="dxa" w:w="2880"/>
          </w:tcPr>
          <w:p>
            <w:r>
              <w:t>P3</w:t>
            </w:r>
          </w:p>
        </w:tc>
      </w:tr>
      <w:tr>
        <w:tc>
          <w:tcPr>
            <w:tcW w:type="dxa" w:w="2880"/>
          </w:tcPr>
          <w:p>
            <w:r>
              <w:t>TC17</w:t>
            </w:r>
          </w:p>
        </w:tc>
        <w:tc>
          <w:tcPr>
            <w:tcW w:type="dxa" w:w="2880"/>
          </w:tcPr>
          <w:p>
            <w:r>
              <w:t>Verify Amdocs SFTP is NOT called during Mediation Subscriber History</w:t>
            </w:r>
          </w:p>
        </w:tc>
        <w:tc>
          <w:tcPr>
            <w:tcW w:type="dxa" w:w="2880"/>
          </w:tcPr>
          <w:p>
            <w:r>
              <w:t>P3</w:t>
            </w:r>
          </w:p>
        </w:tc>
      </w:tr>
      <w:tr>
        <w:tc>
          <w:tcPr>
            <w:tcW w:type="dxa" w:w="2880"/>
          </w:tcPr>
          <w:p>
            <w:r>
              <w:t>TC18</w:t>
            </w:r>
          </w:p>
        </w:tc>
        <w:tc>
          <w:tcPr>
            <w:tcW w:type="dxa" w:w="2880"/>
          </w:tcPr>
          <w:p>
            <w:r>
              <w:t>Verify NSL DB state is consistent after successful Mediation Subscriber History</w:t>
            </w:r>
          </w:p>
        </w:tc>
        <w:tc>
          <w:tcPr>
            <w:tcW w:type="dxa" w:w="2880"/>
          </w:tcPr>
          <w:p>
            <w:r>
              <w:t>P3</w:t>
            </w:r>
          </w:p>
        </w:tc>
      </w:tr>
      <w:tr>
        <w:tc>
          <w:tcPr>
            <w:tcW w:type="dxa" w:w="2880"/>
          </w:tcPr>
          <w:p>
            <w:r>
              <w:t>TC19</w:t>
            </w:r>
          </w:p>
        </w:tc>
        <w:tc>
          <w:tcPr>
            <w:tcW w:type="dxa" w:w="2880"/>
          </w:tcPr>
          <w:p>
            <w:r>
              <w:t>Validate Device Information section updates after Mediation Subscriber History</w:t>
            </w:r>
          </w:p>
        </w:tc>
        <w:tc>
          <w:tcPr>
            <w:tcW w:type="dxa" w:w="2880"/>
          </w:tcPr>
          <w:p>
            <w:r>
              <w:t>P3</w:t>
            </w:r>
          </w:p>
        </w:tc>
      </w:tr>
      <w:tr>
        <w:tc>
          <w:tcPr>
            <w:tcW w:type="dxa" w:w="2880"/>
          </w:tcPr>
          <w:p>
            <w:r>
              <w:t>TC20</w:t>
            </w:r>
          </w:p>
        </w:tc>
        <w:tc>
          <w:tcPr>
            <w:tcW w:type="dxa" w:w="2880"/>
          </w:tcPr>
          <w:p>
            <w:r>
              <w:t>Validate Features page shows all toggles with correct state</w:t>
            </w:r>
          </w:p>
        </w:tc>
        <w:tc>
          <w:tcPr>
            <w:tcW w:type="dxa" w:w="2880"/>
          </w:tcPr>
          <w:p>
            <w:r>
              <w:t>P3</w:t>
            </w:r>
          </w:p>
        </w:tc>
      </w:tr>
      <w:tr>
        <w:tc>
          <w:tcPr>
            <w:tcW w:type="dxa" w:w="2880"/>
          </w:tcPr>
          <w:p>
            <w:r>
              <w:t>TC21</w:t>
            </w:r>
          </w:p>
        </w:tc>
        <w:tc>
          <w:tcPr>
            <w:tcW w:type="dxa" w:w="2880"/>
          </w:tcPr>
          <w:p>
            <w:r>
              <w:t>Validate History Port In Activation tab displays data</w:t>
            </w:r>
          </w:p>
        </w:tc>
        <w:tc>
          <w:tcPr>
            <w:tcW w:type="dxa" w:w="2880"/>
          </w:tcPr>
          <w:p>
            <w:r>
              <w:t>P3</w:t>
            </w:r>
          </w:p>
        </w:tc>
      </w:tr>
      <w:tr>
        <w:tc>
          <w:tcPr>
            <w:tcW w:type="dxa" w:w="2880"/>
          </w:tcPr>
          <w:p>
            <w:r>
              <w:t>TC22</w:t>
            </w:r>
          </w:p>
        </w:tc>
        <w:tc>
          <w:tcPr>
            <w:tcW w:type="dxa" w:w="2880"/>
          </w:tcPr>
          <w:p>
            <w:r>
              <w:t>Validate The Subscriber History API works the same for TMO MDNs as for Verizon MDNs</w:t>
            </w:r>
          </w:p>
        </w:tc>
        <w:tc>
          <w:tcPr>
            <w:tcW w:type="dxa" w:w="2880"/>
          </w:tcPr>
          <w:p>
            <w:r>
              <w:t>P3</w:t>
            </w:r>
          </w:p>
        </w:tc>
      </w:tr>
      <w:tr>
        <w:tc>
          <w:tcPr>
            <w:tcW w:type="dxa" w:w="2880"/>
          </w:tcPr>
          <w:p>
            <w:r>
              <w:t>TC23</w:t>
            </w:r>
          </w:p>
        </w:tc>
        <w:tc>
          <w:tcPr>
            <w:tcW w:type="dxa" w:w="2880"/>
          </w:tcPr>
          <w:p>
            <w:r>
              <w:t>Validate As a Developer, I want to update the TMO Subscriber History API to match the Verizon configurations, so that NB</w:t>
            </w:r>
          </w:p>
        </w:tc>
        <w:tc>
          <w:tcPr>
            <w:tcW w:type="dxa" w:w="2880"/>
          </w:tcPr>
          <w:p>
            <w:r>
              <w:t>P3</w:t>
            </w:r>
          </w:p>
        </w:tc>
      </w:tr>
      <w:tr>
        <w:tc>
          <w:tcPr>
            <w:tcW w:type="dxa" w:w="2880"/>
          </w:tcPr>
          <w:p>
            <w:r>
              <w:t>TC24</w:t>
            </w:r>
          </w:p>
        </w:tc>
        <w:tc>
          <w:tcPr>
            <w:tcW w:type="dxa" w:w="2880"/>
          </w:tcPr>
          <w:p>
            <w:r>
              <w:t>Validate Following API s are to be updated configured for TMO transactions and use Port 8499</w:t>
            </w:r>
          </w:p>
        </w:tc>
        <w:tc>
          <w:tcPr>
            <w:tcW w:type="dxa" w:w="2880"/>
          </w:tcPr>
          <w:p>
            <w:r>
              <w:t>P3</w:t>
            </w:r>
          </w:p>
        </w:tc>
      </w:tr>
      <w:tr>
        <w:tc>
          <w:tcPr>
            <w:tcW w:type="dxa" w:w="2880"/>
          </w:tcPr>
          <w:p>
            <w:r>
              <w:t>TC25</w:t>
            </w:r>
          </w:p>
        </w:tc>
        <w:tc>
          <w:tcPr>
            <w:tcW w:type="dxa" w:w="2880"/>
          </w:tcPr>
          <w:p>
            <w:r>
              <w:t>Validate fetches the response from MED. using end point provided and responds to IT MBO NBOP</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When the mediation data API for a TMO subscriber fails or times out, it results in no changes to any subscriber</w:t>
            </w:r>
          </w:p>
        </w:tc>
        <w:tc>
          <w:tcPr>
            <w:tcW w:type="dxa" w:w="2880"/>
          </w:tcPr>
          <w:p>
            <w:r>
              <w:t>P1</w:t>
            </w:r>
          </w:p>
        </w:tc>
      </w:tr>
      <w:tr>
        <w:tc>
          <w:tcPr>
            <w:tcW w:type="dxa" w:w="2880"/>
          </w:tcPr>
          <w:p>
            <w:r>
              <w:t>TC07</w:t>
            </w:r>
          </w:p>
        </w:tc>
        <w:tc>
          <w:tcPr>
            <w:tcW w:type="dxa" w:w="2880"/>
          </w:tcPr>
          <w:p>
            <w:r>
              <w:t>Validate When an invalid or non-existent subscriber identifier is used to open Mediation Details</w:t>
            </w:r>
          </w:p>
        </w:tc>
        <w:tc>
          <w:tcPr>
            <w:tcW w:type="dxa" w:w="2880"/>
          </w:tcPr>
          <w:p>
            <w:r>
              <w:t>P1</w:t>
            </w:r>
          </w:p>
        </w:tc>
      </w:tr>
      <w:tr>
        <w:tc>
          <w:tcPr>
            <w:tcW w:type="dxa" w:w="2880"/>
          </w:tcPr>
          <w:p>
            <w:r>
              <w:t>TC11</w:t>
            </w:r>
          </w:p>
        </w:tc>
        <w:tc>
          <w:tcPr>
            <w:tcW w:type="dxa" w:w="2880"/>
          </w:tcPr>
          <w:p>
            <w:r>
              <w:t>Negative: Invalid MDN input — error message displayed</w:t>
            </w:r>
          </w:p>
        </w:tc>
        <w:tc>
          <w:tcPr>
            <w:tcW w:type="dxa" w:w="2880"/>
          </w:tcPr>
          <w:p>
            <w:r>
              <w:t>P2</w:t>
            </w:r>
          </w:p>
        </w:tc>
      </w:tr>
      <w:tr>
        <w:tc>
          <w:tcPr>
            <w:tcW w:type="dxa" w:w="2880"/>
          </w:tcPr>
          <w:p>
            <w:r>
              <w:t>TC12</w:t>
            </w:r>
          </w:p>
        </w:tc>
        <w:tc>
          <w:tcPr>
            <w:tcW w:type="dxa" w:w="2880"/>
          </w:tcPr>
          <w:p>
            <w:r>
              <w:t>Negative: Session timeout — graceful handling</w:t>
            </w:r>
          </w:p>
        </w:tc>
        <w:tc>
          <w:tcPr>
            <w:tcW w:type="dxa" w:w="2880"/>
          </w:tcPr>
          <w:p>
            <w:r>
              <w:t>P2</w:t>
            </w:r>
          </w:p>
        </w:tc>
      </w:tr>
      <w:tr>
        <w:tc>
          <w:tcPr>
            <w:tcW w:type="dxa" w:w="2880"/>
          </w:tcPr>
          <w:p>
            <w:r>
              <w:t>TC13</w:t>
            </w:r>
          </w:p>
        </w:tc>
        <w:tc>
          <w:tcPr>
            <w:tcW w:type="dxa" w:w="2880"/>
          </w:tcPr>
          <w:p>
            <w:r>
              <w:t>Negative: Validate Mediation Subscriber History rejects empty submission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TC14</w:t>
            </w:r>
          </w:p>
        </w:tc>
        <w:tc>
          <w:tcPr>
            <w:tcW w:type="dxa" w:w="2880"/>
          </w:tcPr>
          <w:p>
            <w:r>
              <w:t>Verify Mediation Subscriber History rejects duplicate request for same MDN within processi</w:t>
            </w:r>
          </w:p>
        </w:tc>
        <w:tc>
          <w:tcPr>
            <w:tcW w:type="dxa" w:w="2880"/>
          </w:tcPr>
          <w:p>
            <w:r>
              <w:t>P2</w:t>
            </w:r>
          </w:p>
        </w:tc>
      </w:tr>
      <w:tr>
        <w:tc>
          <w:tcPr>
            <w:tcW w:type="dxa" w:w="2880"/>
          </w:tcPr>
          <w:p>
            <w:r>
              <w:t>TC26</w:t>
            </w:r>
          </w:p>
        </w:tc>
        <w:tc>
          <w:tcPr>
            <w:tcW w:type="dxa" w:w="2880"/>
          </w:tcPr>
          <w:p>
            <w:r>
              <w:t>Validate mediation subscriber history handles browser refresh in nbop</w:t>
            </w:r>
          </w:p>
        </w:tc>
        <w:tc>
          <w:tcPr>
            <w:tcW w:type="dxa" w:w="2880"/>
          </w:tcPr>
          <w:p>
            <w:r>
              <w:t>P3</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TC27</w:t>
            </w:r>
          </w:p>
        </w:tc>
        <w:tc>
          <w:tcPr>
            <w:tcW w:type="dxa" w:w="2880"/>
          </w:tcPr>
          <w:p>
            <w:r>
              <w:t>Validate Successful display of subscriber mediation information and history for a VZW subscriber under existing BAU cond</w:t>
            </w:r>
          </w:p>
        </w:tc>
        <w:tc>
          <w:tcPr>
            <w:tcW w:type="dxa" w:w="2880"/>
          </w:tcPr>
          <w:p>
            <w:r>
              <w:t>P3</w:t>
            </w:r>
          </w:p>
        </w:tc>
      </w:tr>
    </w:tbl>
    <w:p>
      <w:pPr>
        <w:pStyle w:val="Heading1"/>
      </w:pPr>
      <w:r>
        <w:t>7. Data Sources</w:t>
      </w:r>
    </w:p>
    <w:p>
      <w:pPr>
        <w:pStyle w:val="ListBullet"/>
      </w:pPr>
      <w:r>
        <w:t>Jira: MWTGPROV-3970 (Description, AC, Labels, Links)</w:t>
      </w:r>
    </w:p>
    <w:p>
      <w:pPr>
        <w:pStyle w:val="ListBullet"/>
      </w:pPr>
      <w:r>
        <w:t>Jira Comments: 1 comments scanned</w:t>
      </w:r>
    </w:p>
    <w:p>
      <w:pPr>
        <w:pStyle w:val="ListBullet"/>
      </w:pPr>
      <w:r>
        <w:t>Jira Subtasks: 4 subtasks scanned</w:t>
      </w:r>
    </w:p>
    <w:p>
      <w:pPr>
        <w:pStyle w:val="ListBullet"/>
      </w:pPr>
      <w:r>
        <w:t>Chalk: MWTGPROV-3970 section (6 scenarios)</w:t>
      </w:r>
    </w:p>
    <w:p>
      <w:pPr>
        <w:pStyle w:val="Heading1"/>
      </w:pPr>
      <w:r>
        <w:t>9. Warnings &amp; Open Items</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