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MWTGPROV-3971</w:t>
            </w:r>
          </w:p>
        </w:tc>
      </w:tr>
      <w:tr>
        <w:tc>
          <w:tcPr>
            <w:tcW w:type="dxa" w:w="4320"/>
          </w:tcPr>
          <w:p>
            <w:r>
              <w:rPr>
                <w:b/>
              </w:rPr>
              <w:t>Title</w:t>
            </w:r>
          </w:p>
        </w:tc>
        <w:tc>
          <w:tcPr>
            <w:tcW w:type="dxa" w:w="4320"/>
          </w:tcPr>
          <w:p>
            <w:r>
              <w:t>[NBOP, NSL, MED, INTG]: New MVNO - Mediation Usage History</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2026-04-17 09:44</w:t>
            </w:r>
          </w:p>
        </w:tc>
      </w:tr>
    </w:tbl>
    <w:p>
      <w:pPr>
        <w:pStyle w:val="Heading1"/>
      </w:pPr>
      <w:r>
        <w:t>2. Objective</w:t>
      </w:r>
    </w:p>
    <w:p>
      <w:r>
        <w:t>Validate the [NBOP, NSL, MED, INTG]: New MVNO - Mediation Usage History feature for TMO MVNO provisioning. [NBOP, NSL, MED, INTG]: New MVNO - Mediation Usage History</w:t>
        <w:br/>
        <w:t>This change enhances the NBOP UI behavior when users access mediation usage history details for subscribers. Currently, the NBOP UI supports viewing detailed mediation usage history for VZW subscribers when the user clicks the Data Details menu item and then the View Historical Usage link, with VZW usage history presented where base data and MHS (Mobile Hotspot) data are combined into a single view. TMO subscribers either do not have thi</w:t>
      </w:r>
    </w:p>
    <w:p>
      <w:pPr>
        <w:pStyle w:val="Heading1"/>
      </w:pPr>
      <w:r>
        <w:t>3. Scope &amp; Business Rules</w:t>
      </w:r>
    </w:p>
    <w:p>
      <w:r>
        <w:t>[NBOP, NSL, MED, INTG]: New MVNO - Mediation Usage History</w:t>
        <w:br/>
        <w:t>This change enhances the NBOP UI behavior when users access mediation usage history details for subscribers. Currently, the NBOP UI supports viewing detailed mediation usage history for VZW subscribers when the user clicks the Data Details menu item and then the View Historical Usage link, with VZW usage history presented where base data and MHS (Mobile Hotspot) data are combined into a single view. TMO subscribers either do not have this capability or are not fully supported in these screens.</w:t>
        <w:br/>
        <w:t>Now, when a user clicks Data Details and then View Historical Usage for either a TMO or VZW subscriber, the system will display a detailed mediation usage history screen. The feature must support display of usage history for the current billing cycle plus the two previous billing cycles. The behavior is triggered by the UI action sequence (Data Details → View Historical Usage) and involves the NBOP UI presentation layer along with backend</w:t>
      </w:r>
    </w:p>
    <w:p>
      <w:pPr>
        <w:pStyle w:val="Heading1"/>
      </w:pPr>
      <w:r>
        <w:t>4. Acceptance Criteria</w:t>
      </w:r>
    </w:p>
    <w:p>
      <w:pPr>
        <w:pStyle w:val="ListNumber"/>
      </w:pPr>
      <w:r>
        <w:t>1. Success Criteria: NBOP should able to display the Usage History.</w:t>
      </w:r>
    </w:p>
    <w:p>
      <w:pPr>
        <w:pStyle w:val="ListNumber"/>
      </w:pPr>
      <w:r>
        <w:t>2. Test strategy document is available.</w:t>
      </w:r>
    </w:p>
    <w:p>
      <w:pPr>
        <w:pStyle w:val="ListNumber"/>
      </w:pPr>
      <w:r>
        <w:t>3. KPIs and SLAs should be BAU.</w:t>
      </w:r>
    </w:p>
    <w:p>
      <w:pPr>
        <w:pStyle w:val="ListNumber"/>
      </w:pPr>
      <w:r>
        <w:t>4.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26</w:t>
            </w:r>
          </w:p>
        </w:tc>
      </w:tr>
      <w:tr>
        <w:tc>
          <w:tcPr>
            <w:tcW w:type="dxa" w:w="4320"/>
          </w:tcPr>
          <w:p>
            <w:r>
              <w:t>Total Test Steps</w:t>
            </w:r>
          </w:p>
        </w:tc>
        <w:tc>
          <w:tcPr>
            <w:tcW w:type="dxa" w:w="4320"/>
          </w:tcPr>
          <w:p>
            <w:r>
              <w:t>83</w:t>
            </w:r>
          </w:p>
        </w:tc>
      </w:tr>
      <w:tr>
        <w:tc>
          <w:tcPr>
            <w:tcW w:type="dxa" w:w="4320"/>
          </w:tcPr>
          <w:p>
            <w:r>
              <w:t>Happy Path Scenarios</w:t>
            </w:r>
          </w:p>
        </w:tc>
        <w:tc>
          <w:tcPr>
            <w:tcW w:type="dxa" w:w="4320"/>
          </w:tcPr>
          <w:p>
            <w:r>
              <w:t>19</w:t>
            </w:r>
          </w:p>
        </w:tc>
      </w:tr>
      <w:tr>
        <w:tc>
          <w:tcPr>
            <w:tcW w:type="dxa" w:w="4320"/>
          </w:tcPr>
          <w:p>
            <w:r>
              <w:t>Regression Scenarios</w:t>
            </w:r>
          </w:p>
        </w:tc>
        <w:tc>
          <w:tcPr>
            <w:tcW w:type="dxa" w:w="4320"/>
          </w:tcPr>
          <w:p>
            <w:r>
              <w:t>1</w:t>
            </w:r>
          </w:p>
        </w:tc>
      </w:tr>
      <w:tr>
        <w:tc>
          <w:tcPr>
            <w:tcW w:type="dxa" w:w="4320"/>
          </w:tcPr>
          <w:p>
            <w:r>
              <w:t>Negative Scenarios</w:t>
            </w:r>
          </w:p>
        </w:tc>
        <w:tc>
          <w:tcPr>
            <w:tcW w:type="dxa" w:w="4320"/>
          </w:tcPr>
          <w:p>
            <w:r>
              <w:t>4</w:t>
            </w:r>
          </w:p>
        </w:tc>
      </w:tr>
      <w:tr>
        <w:tc>
          <w:tcPr>
            <w:tcW w:type="dxa" w:w="4320"/>
          </w:tcPr>
          <w:p>
            <w:r>
              <w:t>Edge Case Scenarios</w:t>
            </w:r>
          </w:p>
        </w:tc>
        <w:tc>
          <w:tcPr>
            <w:tcW w:type="dxa" w:w="4320"/>
          </w:tcPr>
          <w:p>
            <w:r>
              <w:t>2</w:t>
            </w:r>
          </w:p>
        </w:tc>
      </w:tr>
    </w:tbl>
    <w:p/>
    <w:p>
      <w:r>
        <w:rPr>
          <w:b/>
        </w:rPr>
        <w:t xml:space="preserve">Priority Distribution: </w:t>
      </w:r>
      <w:r>
        <w:t xml:space="preserve">P1=6  </w:t>
      </w:r>
      <w:r>
        <w:t xml:space="preserve">P2=8  </w:t>
      </w:r>
      <w:r>
        <w:t xml:space="preserve">P3=12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invocation of the mediation usage history screen when the user clicks Data Details and then View His</w:t>
            </w:r>
          </w:p>
        </w:tc>
        <w:tc>
          <w:tcPr>
            <w:tcW w:type="dxa" w:w="2880"/>
          </w:tcPr>
          <w:p>
            <w:r>
              <w:t>P1</w:t>
            </w:r>
          </w:p>
        </w:tc>
      </w:tr>
      <w:tr>
        <w:tc>
          <w:tcPr>
            <w:tcW w:type="dxa" w:w="2880"/>
          </w:tcPr>
          <w:p>
            <w:r>
              <w:t>TC02</w:t>
            </w:r>
          </w:p>
        </w:tc>
        <w:tc>
          <w:tcPr>
            <w:tcW w:type="dxa" w:w="2880"/>
          </w:tcPr>
          <w:p>
            <w:r>
              <w:t>Validate Successful display of mediation usage history for a TMO subscriber under current billing cycle selection, ensur</w:t>
            </w:r>
          </w:p>
        </w:tc>
        <w:tc>
          <w:tcPr>
            <w:tcW w:type="dxa" w:w="2880"/>
          </w:tcPr>
          <w:p>
            <w:r>
              <w:t>P1</w:t>
            </w:r>
          </w:p>
        </w:tc>
      </w:tr>
      <w:tr>
        <w:tc>
          <w:tcPr>
            <w:tcW w:type="dxa" w:w="2880"/>
          </w:tcPr>
          <w:p>
            <w:r>
              <w:t>TC03</w:t>
            </w:r>
          </w:p>
        </w:tc>
        <w:tc>
          <w:tcPr>
            <w:tcW w:type="dxa" w:w="2880"/>
          </w:tcPr>
          <w:p>
            <w:r>
              <w:t>Validate Successful display of mediation usage history for a TMO subscriber across current plus two previous billing cyc</w:t>
            </w:r>
          </w:p>
        </w:tc>
        <w:tc>
          <w:tcPr>
            <w:tcW w:type="dxa" w:w="2880"/>
          </w:tcPr>
          <w:p>
            <w:r>
              <w:t>P1</w:t>
            </w:r>
          </w:p>
        </w:tc>
      </w:tr>
      <w:tr>
        <w:tc>
          <w:tcPr>
            <w:tcW w:type="dxa" w:w="2880"/>
          </w:tcPr>
          <w:p>
            <w:r>
              <w:t>TC04</w:t>
            </w:r>
          </w:p>
        </w:tc>
        <w:tc>
          <w:tcPr>
            <w:tcW w:type="dxa" w:w="2880"/>
          </w:tcPr>
          <w:p>
            <w:r>
              <w:t>Validate Successful display of mediation usage history for a TMO subscriber when one cycle has no usage records</w:t>
            </w:r>
          </w:p>
        </w:tc>
        <w:tc>
          <w:tcPr>
            <w:tcW w:type="dxa" w:w="2880"/>
          </w:tcPr>
          <w:p>
            <w:r>
              <w:t>P1</w:t>
            </w:r>
          </w:p>
        </w:tc>
      </w:tr>
      <w:tr>
        <w:tc>
          <w:tcPr>
            <w:tcW w:type="dxa" w:w="2880"/>
          </w:tcPr>
          <w:p>
            <w:r>
              <w:t>TC05</w:t>
            </w:r>
          </w:p>
        </w:tc>
        <w:tc>
          <w:tcPr>
            <w:tcW w:type="dxa" w:w="2880"/>
          </w:tcPr>
          <w:p>
            <w:r>
              <w:t>Validate Mediation Usage History happy path</w:t>
            </w:r>
          </w:p>
        </w:tc>
        <w:tc>
          <w:tcPr>
            <w:tcW w:type="dxa" w:w="2880"/>
          </w:tcPr>
          <w:p>
            <w:r>
              <w:t>P1</w:t>
            </w:r>
          </w:p>
        </w:tc>
      </w:tr>
      <w:tr>
        <w:tc>
          <w:tcPr>
            <w:tcW w:type="dxa" w:w="2880"/>
          </w:tcPr>
          <w:p>
            <w:r>
              <w:t>TC07</w:t>
            </w:r>
          </w:p>
        </w:tc>
        <w:tc>
          <w:tcPr>
            <w:tcW w:type="dxa" w:w="2880"/>
          </w:tcPr>
          <w:p>
            <w:r>
              <w:t>Validate Transaction History after Mediation Usage History through NBOP</w:t>
            </w:r>
          </w:p>
        </w:tc>
        <w:tc>
          <w:tcPr>
            <w:tcW w:type="dxa" w:w="2880"/>
          </w:tcPr>
          <w:p>
            <w:r>
              <w:t>P2</w:t>
            </w:r>
          </w:p>
        </w:tc>
      </w:tr>
      <w:tr>
        <w:tc>
          <w:tcPr>
            <w:tcW w:type="dxa" w:w="2880"/>
          </w:tcPr>
          <w:p>
            <w:r>
              <w:t>TC08</w:t>
            </w:r>
          </w:p>
        </w:tc>
        <w:tc>
          <w:tcPr>
            <w:tcW w:type="dxa" w:w="2880"/>
          </w:tcPr>
          <w:p>
            <w:r>
              <w:t>Validate The TMO CRUD API workflow has different setup than existing VZN API workflows in EMM setup. Mediation is expect</w:t>
            </w:r>
          </w:p>
        </w:tc>
        <w:tc>
          <w:tcPr>
            <w:tcW w:type="dxa" w:w="2880"/>
          </w:tcPr>
          <w:p>
            <w:r>
              <w:t>P2</w:t>
            </w:r>
          </w:p>
        </w:tc>
      </w:tr>
      <w:tr>
        <w:tc>
          <w:tcPr>
            <w:tcW w:type="dxa" w:w="2880"/>
          </w:tcPr>
          <w:p>
            <w:r>
              <w:t>TC15</w:t>
            </w:r>
          </w:p>
        </w:tc>
        <w:tc>
          <w:tcPr>
            <w:tcW w:type="dxa" w:w="2880"/>
          </w:tcPr>
          <w:p>
            <w:r>
              <w:t>Verify Syniverse is NOT called during Mediation Usage History</w:t>
            </w:r>
          </w:p>
        </w:tc>
        <w:tc>
          <w:tcPr>
            <w:tcW w:type="dxa" w:w="2880"/>
          </w:tcPr>
          <w:p>
            <w:r>
              <w:t>P3</w:t>
            </w:r>
          </w:p>
        </w:tc>
      </w:tr>
      <w:tr>
        <w:tc>
          <w:tcPr>
            <w:tcW w:type="dxa" w:w="2880"/>
          </w:tcPr>
          <w:p>
            <w:r>
              <w:t>TC16</w:t>
            </w:r>
          </w:p>
        </w:tc>
        <w:tc>
          <w:tcPr>
            <w:tcW w:type="dxa" w:w="2880"/>
          </w:tcPr>
          <w:p>
            <w:r>
              <w:t>Verify Mediation is NOT called during Mediation Usage History</w:t>
            </w:r>
          </w:p>
        </w:tc>
        <w:tc>
          <w:tcPr>
            <w:tcW w:type="dxa" w:w="2880"/>
          </w:tcPr>
          <w:p>
            <w:r>
              <w:t>P3</w:t>
            </w:r>
          </w:p>
        </w:tc>
      </w:tr>
      <w:tr>
        <w:tc>
          <w:tcPr>
            <w:tcW w:type="dxa" w:w="2880"/>
          </w:tcPr>
          <w:p>
            <w:r>
              <w:t>TC17</w:t>
            </w:r>
          </w:p>
        </w:tc>
        <w:tc>
          <w:tcPr>
            <w:tcW w:type="dxa" w:w="2880"/>
          </w:tcPr>
          <w:p>
            <w:r>
              <w:t>Verify Amdocs SFTP is NOT called during Mediation Usage History</w:t>
            </w:r>
          </w:p>
        </w:tc>
        <w:tc>
          <w:tcPr>
            <w:tcW w:type="dxa" w:w="2880"/>
          </w:tcPr>
          <w:p>
            <w:r>
              <w:t>P3</w:t>
            </w:r>
          </w:p>
        </w:tc>
      </w:tr>
      <w:tr>
        <w:tc>
          <w:tcPr>
            <w:tcW w:type="dxa" w:w="2880"/>
          </w:tcPr>
          <w:p>
            <w:r>
              <w:t>TC18</w:t>
            </w:r>
          </w:p>
        </w:tc>
        <w:tc>
          <w:tcPr>
            <w:tcW w:type="dxa" w:w="2880"/>
          </w:tcPr>
          <w:p>
            <w:r>
              <w:t>Verify NSL DB state is consistent after successful Mediation Usage History</w:t>
            </w:r>
          </w:p>
        </w:tc>
        <w:tc>
          <w:tcPr>
            <w:tcW w:type="dxa" w:w="2880"/>
          </w:tcPr>
          <w:p>
            <w:r>
              <w:t>P3</w:t>
            </w:r>
          </w:p>
        </w:tc>
      </w:tr>
      <w:tr>
        <w:tc>
          <w:tcPr>
            <w:tcW w:type="dxa" w:w="2880"/>
          </w:tcPr>
          <w:p>
            <w:r>
              <w:t>TC19</w:t>
            </w:r>
          </w:p>
        </w:tc>
        <w:tc>
          <w:tcPr>
            <w:tcW w:type="dxa" w:w="2880"/>
          </w:tcPr>
          <w:p>
            <w:r>
              <w:t>Validate subscriber profile displays correctly for Mediation Usage History</w:t>
            </w:r>
          </w:p>
        </w:tc>
        <w:tc>
          <w:tcPr>
            <w:tcW w:type="dxa" w:w="2880"/>
          </w:tcPr>
          <w:p>
            <w:r>
              <w:t>P3</w:t>
            </w:r>
          </w:p>
        </w:tc>
      </w:tr>
      <w:tr>
        <w:tc>
          <w:tcPr>
            <w:tcW w:type="dxa" w:w="2880"/>
          </w:tcPr>
          <w:p>
            <w:r>
              <w:t>TC20</w:t>
            </w:r>
          </w:p>
        </w:tc>
        <w:tc>
          <w:tcPr>
            <w:tcW w:type="dxa" w:w="2880"/>
          </w:tcPr>
          <w:p>
            <w:r>
              <w:t>Validate Device Information section updates after Mediation Usage History</w:t>
            </w:r>
          </w:p>
        </w:tc>
        <w:tc>
          <w:tcPr>
            <w:tcW w:type="dxa" w:w="2880"/>
          </w:tcPr>
          <w:p>
            <w:r>
              <w:t>P3</w:t>
            </w:r>
          </w:p>
        </w:tc>
      </w:tr>
      <w:tr>
        <w:tc>
          <w:tcPr>
            <w:tcW w:type="dxa" w:w="2880"/>
          </w:tcPr>
          <w:p>
            <w:r>
              <w:t>TC21</w:t>
            </w:r>
          </w:p>
        </w:tc>
        <w:tc>
          <w:tcPr>
            <w:tcW w:type="dxa" w:w="2880"/>
          </w:tcPr>
          <w:p>
            <w:r>
              <w:t>Validate Mediation Details Subscriber Summary tab displays correctly</w:t>
            </w:r>
          </w:p>
        </w:tc>
        <w:tc>
          <w:tcPr>
            <w:tcW w:type="dxa" w:w="2880"/>
          </w:tcPr>
          <w:p>
            <w:r>
              <w:t>P3</w:t>
            </w:r>
          </w:p>
        </w:tc>
      </w:tr>
      <w:tr>
        <w:tc>
          <w:tcPr>
            <w:tcW w:type="dxa" w:w="2880"/>
          </w:tcPr>
          <w:p>
            <w:r>
              <w:t>TC22</w:t>
            </w:r>
          </w:p>
        </w:tc>
        <w:tc>
          <w:tcPr>
            <w:tcW w:type="dxa" w:w="2880"/>
          </w:tcPr>
          <w:p>
            <w:r>
              <w:t>Validate Features page shows all toggles with correct state</w:t>
            </w:r>
          </w:p>
        </w:tc>
        <w:tc>
          <w:tcPr>
            <w:tcW w:type="dxa" w:w="2880"/>
          </w:tcPr>
          <w:p>
            <w:r>
              <w:t>P3</w:t>
            </w:r>
          </w:p>
        </w:tc>
      </w:tr>
      <w:tr>
        <w:tc>
          <w:tcPr>
            <w:tcW w:type="dxa" w:w="2880"/>
          </w:tcPr>
          <w:p>
            <w:r>
              <w:t>TC23</w:t>
            </w:r>
          </w:p>
        </w:tc>
        <w:tc>
          <w:tcPr>
            <w:tcW w:type="dxa" w:w="2880"/>
          </w:tcPr>
          <w:p>
            <w:r>
              <w:t>Validate History Port In Activation tab displays data</w:t>
            </w:r>
          </w:p>
        </w:tc>
        <w:tc>
          <w:tcPr>
            <w:tcW w:type="dxa" w:w="2880"/>
          </w:tcPr>
          <w:p>
            <w:r>
              <w:t>P3</w:t>
            </w:r>
          </w:p>
        </w:tc>
      </w:tr>
      <w:tr>
        <w:tc>
          <w:tcPr>
            <w:tcW w:type="dxa" w:w="2880"/>
          </w:tcPr>
          <w:p>
            <w:r>
              <w:t>TC24</w:t>
            </w:r>
          </w:p>
        </w:tc>
        <w:tc>
          <w:tcPr>
            <w:tcW w:type="dxa" w:w="2880"/>
          </w:tcPr>
          <w:p>
            <w:r>
              <w:t>Validate The response fields should be populated as follows</w:t>
            </w:r>
          </w:p>
        </w:tc>
        <w:tc>
          <w:tcPr>
            <w:tcW w:type="dxa" w:w="2880"/>
          </w:tcPr>
          <w:p>
            <w:r>
              <w:t>P3</w:t>
            </w:r>
          </w:p>
        </w:tc>
      </w:tr>
      <w:tr>
        <w:tc>
          <w:tcPr>
            <w:tcW w:type="dxa" w:w="2880"/>
          </w:tcPr>
          <w:p>
            <w:r>
              <w:t>TC25</w:t>
            </w:r>
          </w:p>
        </w:tc>
        <w:tc>
          <w:tcPr>
            <w:tcW w:type="dxa" w:w="2880"/>
          </w:tcPr>
          <w:p>
            <w:r>
              <w:t>Validate As NSL, i want to ensure that MED Usage history api works for TMO subscribers as well</w:t>
            </w:r>
          </w:p>
        </w:tc>
        <w:tc>
          <w:tcPr>
            <w:tcW w:type="dxa" w:w="2880"/>
          </w:tcPr>
          <w:p>
            <w:r>
              <w:t>P3</w:t>
            </w:r>
          </w:p>
        </w:tc>
      </w:tr>
      <w:tr>
        <w:tc>
          <w:tcPr>
            <w:tcW w:type="dxa" w:w="2880"/>
          </w:tcPr>
          <w:p>
            <w:r>
              <w:t>TC26</w:t>
            </w:r>
          </w:p>
        </w:tc>
        <w:tc>
          <w:tcPr>
            <w:tcW w:type="dxa" w:w="2880"/>
          </w:tcPr>
          <w:p>
            <w:r>
              <w:t>Validate fetches the response from MED. using end point provided and responds to IT MBO NBOP</w:t>
            </w:r>
          </w:p>
        </w:tc>
        <w:tc>
          <w:tcPr>
            <w:tcW w:type="dxa" w:w="2880"/>
          </w:tcPr>
          <w:p>
            <w:r>
              <w:t>P3</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Validate Successful display of mediation usage history for a VZW subscriber under current plus two previous billing cycl</w:t>
            </w:r>
          </w:p>
        </w:tc>
        <w:tc>
          <w:tcPr>
            <w:tcW w:type="dxa" w:w="2880"/>
          </w:tcPr>
          <w:p>
            <w:r>
              <w:t>P1</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TC09</w:t>
            </w:r>
          </w:p>
        </w:tc>
        <w:tc>
          <w:tcPr>
            <w:tcW w:type="dxa" w:w="2880"/>
          </w:tcPr>
          <w:p>
            <w:r>
              <w:t>Negative: Invalid MDN input — error message displayed</w:t>
            </w:r>
          </w:p>
        </w:tc>
        <w:tc>
          <w:tcPr>
            <w:tcW w:type="dxa" w:w="2880"/>
          </w:tcPr>
          <w:p>
            <w:r>
              <w:t>P2</w:t>
            </w:r>
          </w:p>
        </w:tc>
      </w:tr>
      <w:tr>
        <w:tc>
          <w:tcPr>
            <w:tcW w:type="dxa" w:w="2880"/>
          </w:tcPr>
          <w:p>
            <w:r>
              <w:t>TC10</w:t>
            </w:r>
          </w:p>
        </w:tc>
        <w:tc>
          <w:tcPr>
            <w:tcW w:type="dxa" w:w="2880"/>
          </w:tcPr>
          <w:p>
            <w:r>
              <w:t>Negative: Non-existent subscriber — appropriate message</w:t>
            </w:r>
          </w:p>
        </w:tc>
        <w:tc>
          <w:tcPr>
            <w:tcW w:type="dxa" w:w="2880"/>
          </w:tcPr>
          <w:p>
            <w:r>
              <w:t>P2</w:t>
            </w:r>
          </w:p>
        </w:tc>
      </w:tr>
      <w:tr>
        <w:tc>
          <w:tcPr>
            <w:tcW w:type="dxa" w:w="2880"/>
          </w:tcPr>
          <w:p>
            <w:r>
              <w:t>TC11</w:t>
            </w:r>
          </w:p>
        </w:tc>
        <w:tc>
          <w:tcPr>
            <w:tcW w:type="dxa" w:w="2880"/>
          </w:tcPr>
          <w:p>
            <w:r>
              <w:t>Negative: Session timeout — graceful handling</w:t>
            </w:r>
          </w:p>
        </w:tc>
        <w:tc>
          <w:tcPr>
            <w:tcW w:type="dxa" w:w="2880"/>
          </w:tcPr>
          <w:p>
            <w:r>
              <w:t>P2</w:t>
            </w:r>
          </w:p>
        </w:tc>
      </w:tr>
      <w:tr>
        <w:tc>
          <w:tcPr>
            <w:tcW w:type="dxa" w:w="2880"/>
          </w:tcPr>
          <w:p>
            <w:r>
              <w:t>TC12</w:t>
            </w:r>
          </w:p>
        </w:tc>
        <w:tc>
          <w:tcPr>
            <w:tcW w:type="dxa" w:w="2880"/>
          </w:tcPr>
          <w:p>
            <w:r>
              <w:t>Negative: Validate Mediation Usage History rejects empty submission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TC13</w:t>
            </w:r>
          </w:p>
        </w:tc>
        <w:tc>
          <w:tcPr>
            <w:tcW w:type="dxa" w:w="2880"/>
          </w:tcPr>
          <w:p>
            <w:r>
              <w:t>Verify Mediation Usage History rejects duplicate request for same MDN within processing wi</w:t>
            </w:r>
          </w:p>
        </w:tc>
        <w:tc>
          <w:tcPr>
            <w:tcW w:type="dxa" w:w="2880"/>
          </w:tcPr>
          <w:p>
            <w:r>
              <w:t>P2</w:t>
            </w:r>
          </w:p>
        </w:tc>
      </w:tr>
      <w:tr>
        <w:tc>
          <w:tcPr>
            <w:tcW w:type="dxa" w:w="2880"/>
          </w:tcPr>
          <w:p>
            <w:r>
              <w:t>TC14</w:t>
            </w:r>
          </w:p>
        </w:tc>
        <w:tc>
          <w:tcPr>
            <w:tcW w:type="dxa" w:w="2880"/>
          </w:tcPr>
          <w:p>
            <w:r>
              <w:t>Edge Case: Validate Mediation Usage History handles browser refresh in NBOP</w:t>
            </w:r>
          </w:p>
        </w:tc>
        <w:tc>
          <w:tcPr>
            <w:tcW w:type="dxa" w:w="2880"/>
          </w:tcPr>
          <w:p>
            <w:r>
              <w:t>P2</w:t>
            </w:r>
          </w:p>
        </w:tc>
      </w:tr>
    </w:tbl>
    <w:p>
      <w:pPr>
        <w:pStyle w:val="Heading1"/>
      </w:pPr>
      <w:r>
        <w:t>7. Data Sources</w:t>
      </w:r>
    </w:p>
    <w:p>
      <w:pPr>
        <w:pStyle w:val="ListBullet"/>
      </w:pPr>
      <w:r>
        <w:t>Jira: MWTGPROV-3971 (Description, AC, Labels, Links)</w:t>
      </w:r>
    </w:p>
    <w:p>
      <w:pPr>
        <w:pStyle w:val="ListBullet"/>
      </w:pPr>
      <w:r>
        <w:t>Jira Comments: 1 comments scanned</w:t>
      </w:r>
    </w:p>
    <w:p>
      <w:pPr>
        <w:pStyle w:val="ListBullet"/>
      </w:pPr>
      <w:r>
        <w:t>Jira Subtasks: 6 subtasks scanned</w:t>
      </w:r>
    </w:p>
    <w:p>
      <w:pPr>
        <w:pStyle w:val="ListBullet"/>
      </w:pPr>
      <w:r>
        <w:t>Chalk: MWTGPROV-3971 section (5 scenarios)</w:t>
      </w:r>
    </w:p>
    <w:p>
      <w:pPr>
        <w:pStyle w:val="Heading1"/>
      </w:pPr>
      <w:r>
        <w:t>9. Warnings &amp; Open Items</w:t>
      </w:r>
    </w:p>
    <w:p>
      <w:pPr>
        <w:pStyle w:val="ListBullet"/>
      </w:pPr>
      <w:r>
        <w:t>AC not covered: "Test strategy document is available."</w:t>
      </w:r>
    </w:p>
    <w:p>
      <w:pPr>
        <w:pStyle w:val="ListBullet"/>
      </w:pPr>
      <w:r>
        <w:t>AC not covered: "Updated HLD."</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