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19:14</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Voice</w:t>
            </w:r>
          </w:p>
        </w:tc>
        <w:tc>
          <w:tcPr>
            <w:tcW w:type="dxa" w:w="2880"/>
          </w:tcPr>
          <w:p>
            <w:r>
              <w:t>P3</w:t>
            </w:r>
          </w:p>
        </w:tc>
      </w:tr>
      <w:tr>
        <w:tc>
          <w:tcPr>
            <w:tcW w:type="dxa" w:w="2880"/>
          </w:tcPr>
          <w:p>
            <w:r>
              <w:t>TC29</w:t>
            </w:r>
          </w:p>
        </w:tc>
        <w:tc>
          <w:tcPr>
            <w:tcW w:type="dxa" w:w="2880"/>
          </w:tcPr>
          <w:p>
            <w:r>
              <w:t>Verify NSL DB state is consistent after successful Inquiry Usage Details - Voice</w:t>
            </w:r>
          </w:p>
        </w:tc>
        <w:tc>
          <w:tcPr>
            <w:tcW w:type="dxa" w:w="2880"/>
          </w:tcPr>
          <w:p>
            <w:r>
              <w:t>P3</w:t>
            </w:r>
          </w:p>
        </w:tc>
      </w:tr>
      <w:tr>
        <w:tc>
          <w:tcPr>
            <w:tcW w:type="dxa" w:w="2880"/>
          </w:tcPr>
          <w:p>
            <w:r>
              <w:t>TC30</w:t>
            </w:r>
          </w:p>
        </w:tc>
        <w:tc>
          <w:tcPr>
            <w:tcW w:type="dxa" w:w="2880"/>
          </w:tcPr>
          <w:p>
            <w:r>
              <w:t>Validate subscriber profile displays correctly for Inquiry Usage Details - Voice</w:t>
            </w:r>
          </w:p>
        </w:tc>
        <w:tc>
          <w:tcPr>
            <w:tcW w:type="dxa" w:w="2880"/>
          </w:tcPr>
          <w:p>
            <w:r>
              <w:t>P3</w:t>
            </w:r>
          </w:p>
        </w:tc>
      </w:tr>
      <w:tr>
        <w:tc>
          <w:tcPr>
            <w:tcW w:type="dxa" w:w="2880"/>
          </w:tcPr>
          <w:p>
            <w:r>
              <w:t>TC31</w:t>
            </w:r>
          </w:p>
        </w:tc>
        <w:tc>
          <w:tcPr>
            <w:tcW w:type="dxa" w:w="2880"/>
          </w:tcPr>
          <w:p>
            <w:r>
              <w:t>Validate Add-Ons section updates after Inquiry Usage Details - Voice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Voice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Voice API response payload contains all required fields</w:t>
            </w:r>
          </w:p>
        </w:tc>
        <w:tc>
          <w:tcPr>
            <w:tcW w:type="dxa" w:w="2880"/>
          </w:tcPr>
          <w:p>
            <w:r>
              <w:t>P3</w:t>
            </w:r>
          </w:p>
        </w:tc>
      </w:tr>
      <w:tr>
        <w:tc>
          <w:tcPr>
            <w:tcW w:type="dxa" w:w="2880"/>
          </w:tcPr>
          <w:p>
            <w:r>
              <w:t>TC36</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TC37</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Voice rejects duplicate request for same MDN within process</w:t>
            </w:r>
          </w:p>
        </w:tc>
        <w:tc>
          <w:tcPr>
            <w:tcW w:type="dxa" w:w="2880"/>
          </w:tcPr>
          <w:p>
            <w:r>
              <w:t>P2</w:t>
            </w:r>
          </w:p>
        </w:tc>
      </w:tr>
      <w:tr>
        <w:tc>
          <w:tcPr>
            <w:tcW w:type="dxa" w:w="2880"/>
          </w:tcPr>
          <w:p>
            <w:r>
              <w:t>TC20</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