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11:25</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Voice happy path</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Voice</w:t>
            </w:r>
          </w:p>
        </w:tc>
        <w:tc>
          <w:tcPr>
            <w:tcW w:type="dxa" w:w="2880"/>
          </w:tcPr>
          <w:p>
            <w:r>
              <w:t>P3</w:t>
            </w:r>
          </w:p>
        </w:tc>
      </w:tr>
      <w:tr>
        <w:tc>
          <w:tcPr>
            <w:tcW w:type="dxa" w:w="2880"/>
          </w:tcPr>
          <w:p>
            <w:r>
              <w:t>TC20</w:t>
            </w:r>
          </w:p>
        </w:tc>
        <w:tc>
          <w:tcPr>
            <w:tcW w:type="dxa" w:w="2880"/>
          </w:tcPr>
          <w:p>
            <w:r>
              <w:t>Validate Inquiry Usage Details - Voice through NBOP</w:t>
            </w:r>
          </w:p>
        </w:tc>
        <w:tc>
          <w:tcPr>
            <w:tcW w:type="dxa" w:w="2880"/>
          </w:tcPr>
          <w:p>
            <w:r>
              <w:t>P3</w:t>
            </w:r>
          </w:p>
        </w:tc>
      </w:tr>
      <w:tr>
        <w:tc>
          <w:tcPr>
            <w:tcW w:type="dxa" w:w="2880"/>
          </w:tcPr>
          <w:p>
            <w:r>
              <w:t>TC21</w:t>
            </w:r>
          </w:p>
        </w:tc>
        <w:tc>
          <w:tcPr>
            <w:tcW w:type="dxa" w:w="2880"/>
          </w:tcPr>
          <w:p>
            <w:r>
              <w:t>Validate subscriber profile displays correctly for Inquiry Usage Details - Voice</w:t>
            </w:r>
          </w:p>
        </w:tc>
        <w:tc>
          <w:tcPr>
            <w:tcW w:type="dxa" w:w="2880"/>
          </w:tcPr>
          <w:p>
            <w:r>
              <w:t>P3</w:t>
            </w:r>
          </w:p>
        </w:tc>
      </w:tr>
      <w:tr>
        <w:tc>
          <w:tcPr>
            <w:tcW w:type="dxa" w:w="2880"/>
          </w:tcPr>
          <w:p>
            <w:r>
              <w:t>TC22</w:t>
            </w:r>
          </w:p>
        </w:tc>
        <w:tc>
          <w:tcPr>
            <w:tcW w:type="dxa" w:w="2880"/>
          </w:tcPr>
          <w:p>
            <w:r>
              <w:t>Validate NBOP profile sections update after Inquiry Usage Details - Voice</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Voice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Voice rejects invalid MDN in NBOP</w:t>
            </w:r>
          </w:p>
        </w:tc>
        <w:tc>
          <w:tcPr>
            <w:tcW w:type="dxa" w:w="2880"/>
          </w:tcPr>
          <w:p>
            <w:r>
              <w:t>P2</w:t>
            </w:r>
          </w:p>
        </w:tc>
      </w:tr>
      <w:tr>
        <w:tc>
          <w:tcPr>
            <w:tcW w:type="dxa" w:w="2880"/>
          </w:tcPr>
          <w:p>
            <w:r>
              <w:t>TC09</w:t>
            </w:r>
          </w:p>
        </w:tc>
        <w:tc>
          <w:tcPr>
            <w:tcW w:type="dxa" w:w="2880"/>
          </w:tcPr>
          <w:p>
            <w:r>
              <w:t>Negative: Validate Inquiry Usage Details - Voice rejects empty submission in NBOP</w:t>
            </w:r>
          </w:p>
        </w:tc>
        <w:tc>
          <w:tcPr>
            <w:tcW w:type="dxa" w:w="2880"/>
          </w:tcPr>
          <w:p>
            <w:r>
              <w:t>P2</w:t>
            </w:r>
          </w:p>
        </w:tc>
      </w:tr>
      <w:tr>
        <w:tc>
          <w:tcPr>
            <w:tcW w:type="dxa" w:w="2880"/>
          </w:tcPr>
          <w:p>
            <w:r>
              <w:t>TC10</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voice handles session timeout in nbop</w:t>
            </w:r>
          </w:p>
        </w:tc>
        <w:tc>
          <w:tcPr>
            <w:tcW w:type="dxa" w:w="2880"/>
          </w:tcPr>
          <w:p>
            <w:r>
              <w:t>P2</w:t>
            </w:r>
          </w:p>
        </w:tc>
      </w:tr>
      <w:tr>
        <w:tc>
          <w:tcPr>
            <w:tcW w:type="dxa" w:w="2880"/>
          </w:tcPr>
          <w:p>
            <w:r>
              <w:t>TC25</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