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14:50</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Data through NBOP.</w:t>
            </w:r>
          </w:p>
        </w:tc>
        <w:tc>
          <w:tcPr>
            <w:tcW w:type="dxa" w:w="2880"/>
          </w:tcPr>
          <w:p>
            <w:r>
              <w:t>P3</w:t>
            </w:r>
          </w:p>
        </w:tc>
      </w:tr>
      <w:tr>
        <w:tc>
          <w:tcPr>
            <w:tcW w:type="dxa" w:w="2880"/>
          </w:tcPr>
          <w:p>
            <w:r>
              <w:t>TC17</w:t>
            </w:r>
          </w:p>
        </w:tc>
        <w:tc>
          <w:tcPr>
            <w:tcW w:type="dxa" w:w="2880"/>
          </w:tcPr>
          <w:p>
            <w:r>
              <w:t>Validate subscriber profile displays correctly for Inquiry Usage Details - Data.</w:t>
            </w:r>
          </w:p>
        </w:tc>
        <w:tc>
          <w:tcPr>
            <w:tcW w:type="dxa" w:w="2880"/>
          </w:tcPr>
          <w:p>
            <w:r>
              <w:t>P3</w:t>
            </w:r>
          </w:p>
        </w:tc>
      </w:tr>
      <w:tr>
        <w:tc>
          <w:tcPr>
            <w:tcW w:type="dxa" w:w="2880"/>
          </w:tcPr>
          <w:p>
            <w:r>
              <w:t>TC18</w:t>
            </w:r>
          </w:p>
        </w:tc>
        <w:tc>
          <w:tcPr>
            <w:tcW w:type="dxa" w:w="2880"/>
          </w:tcPr>
          <w:p>
            <w:r>
              <w:t>Validate Add-Ons section updates after Inquiry Usage Details - Data.</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Data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Data rejects invalid MDN in NBOP.</w:t>
            </w:r>
          </w:p>
        </w:tc>
        <w:tc>
          <w:tcPr>
            <w:tcW w:type="dxa" w:w="2880"/>
          </w:tcPr>
          <w:p>
            <w:r>
              <w:t>P2</w:t>
            </w:r>
          </w:p>
        </w:tc>
      </w:tr>
      <w:tr>
        <w:tc>
          <w:tcPr>
            <w:tcW w:type="dxa" w:w="2880"/>
          </w:tcPr>
          <w:p>
            <w:r>
              <w:t>TC09</w:t>
            </w:r>
          </w:p>
        </w:tc>
        <w:tc>
          <w:tcPr>
            <w:tcW w:type="dxa" w:w="2880"/>
          </w:tcPr>
          <w:p>
            <w:r>
              <w:t>Negative: Validate Inquiry Usage Details - Data rejects empty submission in NBOP.</w:t>
            </w:r>
          </w:p>
        </w:tc>
        <w:tc>
          <w:tcPr>
            <w:tcW w:type="dxa" w:w="2880"/>
          </w:tcPr>
          <w:p>
            <w:r>
              <w:t>P2</w:t>
            </w:r>
          </w:p>
        </w:tc>
      </w:tr>
      <w:tr>
        <w:tc>
          <w:tcPr>
            <w:tcW w:type="dxa" w:w="2880"/>
          </w:tcPr>
          <w:p>
            <w:r>
              <w:t>TC10</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data handles session timeout in nbop.</w:t>
            </w:r>
          </w:p>
        </w:tc>
        <w:tc>
          <w:tcPr>
            <w:tcW w:type="dxa" w:w="2880"/>
          </w:tcPr>
          <w:p>
            <w:r>
              <w:t>P2</w:t>
            </w:r>
          </w:p>
        </w:tc>
      </w:tr>
      <w:tr>
        <w:tc>
          <w:tcPr>
            <w:tcW w:type="dxa" w:w="2880"/>
          </w:tcPr>
          <w:p>
            <w:r>
              <w:t>TC22</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