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MWTGPROV-3981</w:t>
            </w:r>
          </w:p>
        </w:tc>
      </w:tr>
      <w:tr>
        <w:tc>
          <w:tcPr>
            <w:tcW w:type="dxa" w:w="4320"/>
          </w:tcPr>
          <w:p>
            <w:r>
              <w:rPr>
                <w:b/>
              </w:rPr>
              <w:t>Title</w:t>
            </w:r>
          </w:p>
        </w:tc>
        <w:tc>
          <w:tcPr>
            <w:tcW w:type="dxa" w:w="4320"/>
          </w:tcPr>
          <w:p>
            <w:r>
              <w:t>[NBOP, NSLNM, INTG]: New MVNO - Inquiry Usage Details -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16:19</w:t>
            </w:r>
          </w:p>
        </w:tc>
      </w:tr>
    </w:tbl>
    <w:p>
      <w:pPr>
        <w:pStyle w:val="Heading1"/>
      </w:pPr>
      <w:r>
        <w:t>2. Objective</w:t>
      </w:r>
    </w:p>
    <w:p>
      <w:r>
        <w:t>Validate the [NBOP, NSLNM, INTG]: New MVNO - Inquiry Usage Details - Data feature for TMO MVNO provisioning. [NBOP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w:t>
      </w:r>
    </w:p>
    <w:p>
      <w:pPr>
        <w:pStyle w:val="Heading1"/>
      </w:pPr>
      <w:r>
        <w:t>3. Scope &amp; Business Rules</w:t>
      </w:r>
    </w:p>
    <w:p>
      <w: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Data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Data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Data through NBOP.</w:t>
            </w:r>
          </w:p>
        </w:tc>
        <w:tc>
          <w:tcPr>
            <w:tcW w:type="dxa" w:w="2880"/>
          </w:tcPr>
          <w:p>
            <w:r>
              <w:t>P3</w:t>
            </w:r>
          </w:p>
        </w:tc>
      </w:tr>
      <w:tr>
        <w:tc>
          <w:tcPr>
            <w:tcW w:type="dxa" w:w="2880"/>
          </w:tcPr>
          <w:p>
            <w:r>
              <w:t>TC17</w:t>
            </w:r>
          </w:p>
        </w:tc>
        <w:tc>
          <w:tcPr>
            <w:tcW w:type="dxa" w:w="2880"/>
          </w:tcPr>
          <w:p>
            <w:r>
              <w:t>Validate subscriber profile displays correctly for Inquiry Usage Details - Data.</w:t>
            </w:r>
          </w:p>
        </w:tc>
        <w:tc>
          <w:tcPr>
            <w:tcW w:type="dxa" w:w="2880"/>
          </w:tcPr>
          <w:p>
            <w:r>
              <w:t>P3</w:t>
            </w:r>
          </w:p>
        </w:tc>
      </w:tr>
      <w:tr>
        <w:tc>
          <w:tcPr>
            <w:tcW w:type="dxa" w:w="2880"/>
          </w:tcPr>
          <w:p>
            <w:r>
              <w:t>TC18</w:t>
            </w:r>
          </w:p>
        </w:tc>
        <w:tc>
          <w:tcPr>
            <w:tcW w:type="dxa" w:w="2880"/>
          </w:tcPr>
          <w:p>
            <w:r>
              <w:t>Validate Add-Ons section updates after Inquiry Usage Details - Data.</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Data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Data rejects invalid MDN in NBOP.</w:t>
            </w:r>
          </w:p>
        </w:tc>
        <w:tc>
          <w:tcPr>
            <w:tcW w:type="dxa" w:w="2880"/>
          </w:tcPr>
          <w:p>
            <w:r>
              <w:t>P2</w:t>
            </w:r>
          </w:p>
        </w:tc>
      </w:tr>
      <w:tr>
        <w:tc>
          <w:tcPr>
            <w:tcW w:type="dxa" w:w="2880"/>
          </w:tcPr>
          <w:p>
            <w:r>
              <w:t>TC09</w:t>
            </w:r>
          </w:p>
        </w:tc>
        <w:tc>
          <w:tcPr>
            <w:tcW w:type="dxa" w:w="2880"/>
          </w:tcPr>
          <w:p>
            <w:r>
              <w:t>Negative: Validate Inquiry Usage Details - Data rejects empty submission in NBOP.</w:t>
            </w:r>
          </w:p>
        </w:tc>
        <w:tc>
          <w:tcPr>
            <w:tcW w:type="dxa" w:w="2880"/>
          </w:tcPr>
          <w:p>
            <w:r>
              <w:t>P2</w:t>
            </w:r>
          </w:p>
        </w:tc>
      </w:tr>
      <w:tr>
        <w:tc>
          <w:tcPr>
            <w:tcW w:type="dxa" w:w="2880"/>
          </w:tcPr>
          <w:p>
            <w:r>
              <w:t>TC10</w:t>
            </w:r>
          </w:p>
        </w:tc>
        <w:tc>
          <w:tcPr>
            <w:tcW w:type="dxa" w:w="2880"/>
          </w:tcPr>
          <w:p>
            <w:r>
              <w:t>Negative: Validate Inquiry Usage Details - Data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data handles session timeout in nbop.</w:t>
            </w:r>
          </w:p>
        </w:tc>
        <w:tc>
          <w:tcPr>
            <w:tcW w:type="dxa" w:w="2880"/>
          </w:tcPr>
          <w:p>
            <w:r>
              <w:t>P2</w:t>
            </w:r>
          </w:p>
        </w:tc>
      </w:tr>
      <w:tr>
        <w:tc>
          <w:tcPr>
            <w:tcW w:type="dxa" w:w="2880"/>
          </w:tcPr>
          <w:p>
            <w:r>
              <w:t>TC22</w:t>
            </w:r>
          </w:p>
        </w:tc>
        <w:tc>
          <w:tcPr>
            <w:tcW w:type="dxa" w:w="2880"/>
          </w:tcPr>
          <w:p>
            <w:r>
              <w:t>Validate inquiry usage details - data handles browser refresh in nbop.</w:t>
            </w:r>
          </w:p>
        </w:tc>
        <w:tc>
          <w:tcPr>
            <w:tcW w:type="dxa" w:w="2880"/>
          </w:tcPr>
          <w:p>
            <w:r>
              <w:t>P3</w:t>
            </w:r>
          </w:p>
        </w:tc>
      </w:tr>
    </w:tbl>
    <w:p>
      <w:pPr>
        <w:pStyle w:val="Heading1"/>
      </w:pPr>
      <w:r>
        <w:t>7. Data Sources</w:t>
      </w:r>
    </w:p>
    <w:p>
      <w:pPr>
        <w:pStyle w:val="ListBullet"/>
      </w:pPr>
      <w:r>
        <w:t>Jira: MWTGPROV-3981 (Description, AC, Labels, Links)</w:t>
      </w:r>
    </w:p>
    <w:p>
      <w:pPr>
        <w:pStyle w:val="ListBullet"/>
      </w:pPr>
      <w:r>
        <w:t>Jira Subtasks: 5 subtasks scanned</w:t>
      </w:r>
    </w:p>
    <w:p>
      <w:pPr>
        <w:pStyle w:val="ListBullet"/>
      </w:pPr>
      <w:r>
        <w:t>Chalk: MWTGPROV-3981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