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2026-04-20 14:02</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24</w:t>
            </w:r>
          </w:p>
        </w:tc>
      </w:tr>
      <w:tr>
        <w:tc>
          <w:tcPr>
            <w:tcW w:type="dxa" w:w="4320"/>
          </w:tcPr>
          <w:p>
            <w:r>
              <w:t>Total Test Steps</w:t>
            </w:r>
          </w:p>
        </w:tc>
        <w:tc>
          <w:tcPr>
            <w:tcW w:type="dxa" w:w="4320"/>
          </w:tcPr>
          <w:p>
            <w:r>
              <w:t>84</w:t>
            </w:r>
          </w:p>
        </w:tc>
      </w:tr>
      <w:tr>
        <w:tc>
          <w:tcPr>
            <w:tcW w:type="dxa" w:w="4320"/>
          </w:tcPr>
          <w:p>
            <w:r>
              <w:t>Happy Path Scenarios</w:t>
            </w:r>
          </w:p>
        </w:tc>
        <w:tc>
          <w:tcPr>
            <w:tcW w:type="dxa" w:w="4320"/>
          </w:tcPr>
          <w:p>
            <w:r>
              <w:t>15</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P2=9  </w:t>
      </w:r>
      <w:r>
        <w:t xml:space="preserve">P3=9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Network Inquiry UI for a user with MNO_TMO permission, ensuring radio buttons for T</w:t>
            </w:r>
          </w:p>
        </w:tc>
        <w:tc>
          <w:tcPr>
            <w:tcW w:type="dxa" w:w="2880"/>
          </w:tcPr>
          <w:p>
            <w:r>
              <w:t>P1</w:t>
            </w:r>
          </w:p>
        </w:tc>
      </w:tr>
      <w:tr>
        <w:tc>
          <w:tcPr>
            <w:tcW w:type="dxa" w:w="2880"/>
          </w:tcPr>
          <w:p>
            <w:r>
              <w:t>TC02</w:t>
            </w:r>
          </w:p>
        </w:tc>
        <w:tc>
          <w:tcPr>
            <w:tcW w:type="dxa" w:w="2880"/>
          </w:tcPr>
          <w:p>
            <w:r>
              <w:t xml:space="preserve">Validate Successful Order Inquiry query for a TMO subscriber using MDN under user with MNO_TMO permission selecting the </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Validate Successful Order Inquiry API for a TMO subscriber called with requestType=TMO, ensuring a valid Reference Numbe</w:t>
            </w:r>
          </w:p>
        </w:tc>
        <w:tc>
          <w:tcPr>
            <w:tcW w:type="dxa" w:w="2880"/>
          </w:tcPr>
          <w:p>
            <w:r>
              <w:t>P1</w:t>
            </w:r>
          </w:p>
        </w:tc>
      </w:tr>
      <w:tr>
        <w:tc>
          <w:tcPr>
            <w:tcW w:type="dxa" w:w="2880"/>
          </w:tcPr>
          <w:p>
            <w:r>
              <w:t>TC05</w:t>
            </w:r>
          </w:p>
        </w:tc>
        <w:tc>
          <w:tcPr>
            <w:tcW w:type="dxa" w:w="2880"/>
          </w:tcPr>
          <w:p>
            <w:r>
              <w:t>Validate Order Inquiry happy path</w:t>
            </w:r>
          </w:p>
        </w:tc>
        <w:tc>
          <w:tcPr>
            <w:tcW w:type="dxa" w:w="2880"/>
          </w:tcPr>
          <w:p>
            <w:r>
              <w:t>P1</w:t>
            </w:r>
          </w:p>
        </w:tc>
      </w:tr>
      <w:tr>
        <w:tc>
          <w:tcPr>
            <w:tcW w:type="dxa" w:w="2880"/>
          </w:tcPr>
          <w:p>
            <w:r>
              <w:t>TC07</w:t>
            </w:r>
          </w:p>
        </w:tc>
        <w:tc>
          <w:tcPr>
            <w:tcW w:type="dxa" w:w="2880"/>
          </w:tcPr>
          <w:p>
            <w:r>
              <w:t>Validate Order Inquiry through NBOP</w:t>
            </w:r>
          </w:p>
        </w:tc>
        <w:tc>
          <w:tcPr>
            <w:tcW w:type="dxa" w:w="2880"/>
          </w:tcPr>
          <w:p>
            <w:r>
              <w:t>P2</w:t>
            </w:r>
          </w:p>
        </w:tc>
      </w:tr>
      <w:tr>
        <w:tc>
          <w:tcPr>
            <w:tcW w:type="dxa" w:w="2880"/>
          </w:tcPr>
          <w:p>
            <w:r>
              <w:t>TC16</w:t>
            </w:r>
          </w:p>
        </w:tc>
        <w:tc>
          <w:tcPr>
            <w:tcW w:type="dxa" w:w="2880"/>
          </w:tcPr>
          <w:p>
            <w:r>
              <w:t>Validate Successful eSIM status query for a Verizon subscriber using MDN under user with or without MNO_TMO permission w</w:t>
            </w:r>
          </w:p>
        </w:tc>
        <w:tc>
          <w:tcPr>
            <w:tcW w:type="dxa" w:w="2880"/>
          </w:tcPr>
          <w:p>
            <w:r>
              <w:t>P3</w:t>
            </w:r>
          </w:p>
        </w:tc>
      </w:tr>
      <w:tr>
        <w:tc>
          <w:tcPr>
            <w:tcW w:type="dxa" w:w="2880"/>
          </w:tcPr>
          <w:p>
            <w:r>
              <w:t>TC17</w:t>
            </w:r>
          </w:p>
        </w:tc>
        <w:tc>
          <w:tcPr>
            <w:tcW w:type="dxa" w:w="2880"/>
          </w:tcPr>
          <w:p>
            <w:r>
              <w:t>Verify Syniverse is NOT called during Order Inquiry</w:t>
            </w:r>
          </w:p>
        </w:tc>
        <w:tc>
          <w:tcPr>
            <w:tcW w:type="dxa" w:w="2880"/>
          </w:tcPr>
          <w:p>
            <w:r>
              <w:t>P3</w:t>
            </w:r>
          </w:p>
        </w:tc>
      </w:tr>
      <w:tr>
        <w:tc>
          <w:tcPr>
            <w:tcW w:type="dxa" w:w="2880"/>
          </w:tcPr>
          <w:p>
            <w:r>
              <w:t>TC18</w:t>
            </w:r>
          </w:p>
        </w:tc>
        <w:tc>
          <w:tcPr>
            <w:tcW w:type="dxa" w:w="2880"/>
          </w:tcPr>
          <w:p>
            <w:r>
              <w:t>Verify NSL DB state is consistent after successful Order Inquiry</w:t>
            </w:r>
          </w:p>
        </w:tc>
        <w:tc>
          <w:tcPr>
            <w:tcW w:type="dxa" w:w="2880"/>
          </w:tcPr>
          <w:p>
            <w:r>
              <w:t>P3</w:t>
            </w:r>
          </w:p>
        </w:tc>
      </w:tr>
      <w:tr>
        <w:tc>
          <w:tcPr>
            <w:tcW w:type="dxa" w:w="2880"/>
          </w:tcPr>
          <w:p>
            <w:r>
              <w:t>TC19</w:t>
            </w:r>
          </w:p>
        </w:tc>
        <w:tc>
          <w:tcPr>
            <w:tcW w:type="dxa" w:w="2880"/>
          </w:tcPr>
          <w:p>
            <w:r>
              <w:t>Validate subscriber profile displays correctly for Order Inquiry</w:t>
            </w:r>
          </w:p>
        </w:tc>
        <w:tc>
          <w:tcPr>
            <w:tcW w:type="dxa" w:w="2880"/>
          </w:tcPr>
          <w:p>
            <w:r>
              <w:t>P3</w:t>
            </w:r>
          </w:p>
        </w:tc>
      </w:tr>
      <w:tr>
        <w:tc>
          <w:tcPr>
            <w:tcW w:type="dxa" w:w="2880"/>
          </w:tcPr>
          <w:p>
            <w:r>
              <w:t>TC20</w:t>
            </w:r>
          </w:p>
        </w:tc>
        <w:tc>
          <w:tcPr>
            <w:tcW w:type="dxa" w:w="2880"/>
          </w:tcPr>
          <w:p>
            <w:r>
              <w:t>Validate Device Information section updates after Order Inquiry</w:t>
            </w:r>
          </w:p>
        </w:tc>
        <w:tc>
          <w:tcPr>
            <w:tcW w:type="dxa" w:w="2880"/>
          </w:tcPr>
          <w:p>
            <w:r>
              <w:t>P3</w:t>
            </w:r>
          </w:p>
        </w:tc>
      </w:tr>
      <w:tr>
        <w:tc>
          <w:tcPr>
            <w:tcW w:type="dxa" w:w="2880"/>
          </w:tcPr>
          <w:p>
            <w:r>
              <w:t>TC21</w:t>
            </w:r>
          </w:p>
        </w:tc>
        <w:tc>
          <w:tcPr>
            <w:tcW w:type="dxa" w:w="2880"/>
          </w:tcPr>
          <w:p>
            <w:r>
              <w:t>Verify Order Inquiry API response payload contains all required fields</w:t>
            </w:r>
          </w:p>
        </w:tc>
        <w:tc>
          <w:tcPr>
            <w:tcW w:type="dxa" w:w="2880"/>
          </w:tcPr>
          <w:p>
            <w:r>
              <w:t>P3</w:t>
            </w:r>
          </w:p>
        </w:tc>
      </w:tr>
      <w:tr>
        <w:tc>
          <w:tcPr>
            <w:tcW w:type="dxa" w:w="2880"/>
          </w:tcPr>
          <w:p>
            <w:r>
              <w:t>TC22</w:t>
            </w:r>
          </w:p>
        </w:tc>
        <w:tc>
          <w:tcPr>
            <w:tcW w:type="dxa" w:w="2880"/>
          </w:tcPr>
          <w:p>
            <w:r>
              <w:t>Validate As NSL, it should ensure that order inquiry api works for both TMO and VZW subscribers</w:t>
            </w:r>
          </w:p>
        </w:tc>
        <w:tc>
          <w:tcPr>
            <w:tcW w:type="dxa" w:w="2880"/>
          </w:tcPr>
          <w:p>
            <w:r>
              <w:t>P3</w:t>
            </w:r>
          </w:p>
        </w:tc>
      </w:tr>
      <w:tr>
        <w:tc>
          <w:tcPr>
            <w:tcW w:type="dxa" w:w="2880"/>
          </w:tcPr>
          <w:p>
            <w:r>
              <w:t>TC23</w:t>
            </w:r>
          </w:p>
        </w:tc>
        <w:tc>
          <w:tcPr>
            <w:tcW w:type="dxa" w:w="2880"/>
          </w:tcPr>
          <w:p>
            <w:r>
              <w:t>Validate Request and response payload remains same as what is currently implemented for VZW</w:t>
            </w:r>
          </w:p>
        </w:tc>
        <w:tc>
          <w:tcPr>
            <w:tcW w:type="dxa" w:w="2880"/>
          </w:tcPr>
          <w:p>
            <w:r>
              <w:t>P3</w:t>
            </w:r>
          </w:p>
        </w:tc>
      </w:tr>
      <w:tr>
        <w:tc>
          <w:tcPr>
            <w:tcW w:type="dxa" w:w="2880"/>
          </w:tcPr>
          <w:p>
            <w:r>
              <w:t>TC24</w:t>
            </w:r>
          </w:p>
        </w:tc>
        <w:tc>
          <w:tcPr>
            <w:tcW w:type="dxa" w:w="2880"/>
          </w:tcPr>
          <w:p>
            <w:r>
              <w:t>UI Verify: Validate Restore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 Reference Number is shorter than 10 or greater than 100 characters is provided, NBOP must show REFERENCE</w:t>
            </w:r>
          </w:p>
        </w:tc>
        <w:tc>
          <w:tcPr>
            <w:tcW w:type="dxa" w:w="2880"/>
          </w:tcPr>
          <w:p>
            <w:r>
              <w:t>P1</w:t>
            </w:r>
          </w:p>
        </w:tc>
      </w:tr>
      <w:tr>
        <w:tc>
          <w:tcPr>
            <w:tcW w:type="dxa" w:w="2880"/>
          </w:tcPr>
          <w:p>
            <w:r>
              <w:t>TC08</w:t>
            </w:r>
          </w:p>
        </w:tc>
        <w:tc>
          <w:tcPr>
            <w:tcW w:type="dxa" w:w="2880"/>
          </w:tcPr>
          <w:p>
            <w:r>
              <w:t>Validate When no Reference Number is provided in the Order Inquiry request, NSL API returns error code404 Not Found</w:t>
            </w:r>
          </w:p>
        </w:tc>
        <w:tc>
          <w:tcPr>
            <w:tcW w:type="dxa" w:w="2880"/>
          </w:tcPr>
          <w:p>
            <w:r>
              <w:t>P2</w:t>
            </w:r>
          </w:p>
        </w:tc>
      </w:tr>
      <w:tr>
        <w:tc>
          <w:tcPr>
            <w:tcW w:type="dxa" w:w="2880"/>
          </w:tcPr>
          <w:p>
            <w:r>
              <w:t>TC09</w:t>
            </w:r>
          </w:p>
        </w:tc>
        <w:tc>
          <w:tcPr>
            <w:tcW w:type="dxa" w:w="2880"/>
          </w:tcPr>
          <w:p>
            <w:r>
              <w:t xml:space="preserve">Validate When a Reference Number shorter than 10 characters is provided, it results in no order status returned and the </w:t>
            </w:r>
          </w:p>
        </w:tc>
        <w:tc>
          <w:tcPr>
            <w:tcW w:type="dxa" w:w="2880"/>
          </w:tcPr>
          <w:p>
            <w:r>
              <w:t>P2</w:t>
            </w:r>
          </w:p>
        </w:tc>
      </w:tr>
      <w:tr>
        <w:tc>
          <w:tcPr>
            <w:tcW w:type="dxa" w:w="2880"/>
          </w:tcPr>
          <w:p>
            <w:r>
              <w:t>TC10</w:t>
            </w:r>
          </w:p>
        </w:tc>
        <w:tc>
          <w:tcPr>
            <w:tcW w:type="dxa" w:w="2880"/>
          </w:tcPr>
          <w:p>
            <w:r>
              <w:t>Validate When a Reference Number greater than 100 characters is provided, it results in no order status returned and the</w:t>
            </w:r>
          </w:p>
        </w:tc>
        <w:tc>
          <w:tcPr>
            <w:tcW w:type="dxa" w:w="2880"/>
          </w:tcPr>
          <w:p>
            <w:r>
              <w:t>P2</w:t>
            </w:r>
          </w:p>
        </w:tc>
      </w:tr>
      <w:tr>
        <w:tc>
          <w:tcPr>
            <w:tcW w:type="dxa" w:w="2880"/>
          </w:tcPr>
          <w:p>
            <w:r>
              <w:t>TC11</w:t>
            </w:r>
          </w:p>
        </w:tc>
        <w:tc>
          <w:tcPr>
            <w:tcW w:type="dxa" w:w="2880"/>
          </w:tcPr>
          <w:p>
            <w:r>
              <w:t>Negative: Validate Order Inquiry rejects invalid MDN in NBOP</w:t>
            </w:r>
          </w:p>
        </w:tc>
        <w:tc>
          <w:tcPr>
            <w:tcW w:type="dxa" w:w="2880"/>
          </w:tcPr>
          <w:p>
            <w:r>
              <w:t>P2</w:t>
            </w:r>
          </w:p>
        </w:tc>
      </w:tr>
      <w:tr>
        <w:tc>
          <w:tcPr>
            <w:tcW w:type="dxa" w:w="2880"/>
          </w:tcPr>
          <w:p>
            <w:r>
              <w:t>TC12</w:t>
            </w:r>
          </w:p>
        </w:tc>
        <w:tc>
          <w:tcPr>
            <w:tcW w:type="dxa" w:w="2880"/>
          </w:tcPr>
          <w:p>
            <w:r>
              <w:t>Negative: Validate Order Inquiry handles non-existent MDN in NBOP</w:t>
            </w:r>
          </w:p>
        </w:tc>
        <w:tc>
          <w:tcPr>
            <w:tcW w:type="dxa" w:w="2880"/>
          </w:tcPr>
          <w:p>
            <w:r>
              <w:t>P2</w:t>
            </w:r>
          </w:p>
        </w:tc>
      </w:tr>
      <w:tr>
        <w:tc>
          <w:tcPr>
            <w:tcW w:type="dxa" w:w="2880"/>
          </w:tcPr>
          <w:p>
            <w:r>
              <w:t>TC13</w:t>
            </w:r>
          </w:p>
        </w:tc>
        <w:tc>
          <w:tcPr>
            <w:tcW w:type="dxa" w:w="2880"/>
          </w:tcPr>
          <w:p>
            <w:r>
              <w:t>Negative: Verify Order Inquiry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Order Inquiry rejects duplicate request for same MDN within processing window</w:t>
            </w:r>
          </w:p>
        </w:tc>
        <w:tc>
          <w:tcPr>
            <w:tcW w:type="dxa" w:w="2880"/>
          </w:tcPr>
          <w:p>
            <w:r>
              <w:t>P2</w:t>
            </w:r>
          </w:p>
        </w:tc>
      </w:tr>
      <w:tr>
        <w:tc>
          <w:tcPr>
            <w:tcW w:type="dxa" w:w="2880"/>
          </w:tcPr>
          <w:p>
            <w:r>
              <w:t>TC15</w:t>
            </w:r>
          </w:p>
        </w:tc>
        <w:tc>
          <w:tcPr>
            <w:tcW w:type="dxa" w:w="2880"/>
          </w:tcPr>
          <w:p>
            <w:r>
              <w:t>Edge Case: Validate Order Inquiry handles session timeout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1 subtasks scanned</w:t>
      </w:r>
    </w:p>
    <w:p>
      <w:pPr>
        <w:pStyle w:val="ListBullet"/>
      </w:pPr>
      <w:r>
        <w:t>Jira Links: MWTGPROV-4337</w:t>
      </w:r>
    </w:p>
    <w:p>
      <w:pPr>
        <w:pStyle w:val="ListBullet"/>
      </w:pPr>
      <w:r>
        <w:t>Chalk: MWTGPROV-4007 section (9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