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Feature Objective &amp; Test Summary</w:t>
      </w:r>
    </w:p>
    <w:p/>
    <w:p>
      <w:pPr>
        <w:pStyle w:val="Heading1"/>
      </w:pPr>
      <w:r>
        <w:t>1. Feature Overview</w:t>
      </w:r>
    </w:p>
    <w:tbl>
      <w:tblPr>
        <w:tblStyle w:val="LightGrid-Accent1"/>
        <w:tblW w:type="auto" w:w="0"/>
        <w:tblLook w:firstColumn="1" w:firstRow="1" w:lastColumn="0" w:lastRow="0" w:noHBand="0" w:noVBand="1" w:val="04A0"/>
      </w:tblPr>
      <w:tblGrid>
        <w:gridCol w:w="4320"/>
        <w:gridCol w:w="4320"/>
      </w:tblGrid>
      <w:tr>
        <w:tc>
          <w:tcPr>
            <w:tcW w:type="dxa" w:w="4320"/>
          </w:tcPr>
          <w:p>
            <w:r>
              <w:rPr>
                <w:b/>
              </w:rPr>
              <w:t>Feature ID</w:t>
            </w:r>
          </w:p>
        </w:tc>
        <w:tc>
          <w:tcPr>
            <w:tcW w:type="dxa" w:w="4320"/>
          </w:tcPr>
          <w:p>
            <w:r>
              <w:t>MWTGPROV-4007</w:t>
            </w:r>
          </w:p>
        </w:tc>
      </w:tr>
      <w:tr>
        <w:tc>
          <w:tcPr>
            <w:tcW w:type="dxa" w:w="4320"/>
          </w:tcPr>
          <w:p>
            <w:r>
              <w:rPr>
                <w:b/>
              </w:rPr>
              <w:t>Title</w:t>
            </w:r>
          </w:p>
        </w:tc>
        <w:tc>
          <w:tcPr>
            <w:tcW w:type="dxa" w:w="4320"/>
          </w:tcPr>
          <w:p>
            <w:r>
              <w:t>[NSLNM, INTG]: New MVNO - Order Inquiry</w:t>
            </w:r>
          </w:p>
        </w:tc>
      </w:tr>
      <w:tr>
        <w:tc>
          <w:tcPr>
            <w:tcW w:type="dxa" w:w="4320"/>
          </w:tcPr>
          <w:p>
            <w:r>
              <w:rPr>
                <w:b/>
              </w:rPr>
              <w:t>PI</w:t>
            </w:r>
          </w:p>
        </w:tc>
        <w:tc>
          <w:tcPr>
            <w:tcW w:type="dxa" w:w="4320"/>
          </w:tcPr>
          <w:p>
            <w:r>
              <w:t>PI-53</w:t>
            </w:r>
          </w:p>
        </w:tc>
      </w:tr>
      <w:tr>
        <w:tc>
          <w:tcPr>
            <w:tcW w:type="dxa" w:w="4320"/>
          </w:tcPr>
          <w:p>
            <w:r>
              <w:rPr>
                <w:b/>
              </w:rPr>
              <w:t>Status</w:t>
            </w:r>
          </w:p>
        </w:tc>
        <w:tc>
          <w:tcPr>
            <w:tcW w:type="dxa" w:w="4320"/>
          </w:tcPr>
          <w:p>
            <w:r>
              <w:t>Dev Complete</w:t>
            </w:r>
          </w:p>
        </w:tc>
      </w:tr>
      <w:tr>
        <w:tc>
          <w:tcPr>
            <w:tcW w:type="dxa" w:w="4320"/>
          </w:tcPr>
          <w:p>
            <w:r>
              <w:rPr>
                <w:b/>
              </w:rPr>
              <w:t>Priority</w:t>
            </w:r>
          </w:p>
        </w:tc>
        <w:tc>
          <w:tcPr>
            <w:tcW w:type="dxa" w:w="4320"/>
          </w:tcPr>
          <w:p>
            <w:r>
              <w:t>Major/Medium</w:t>
            </w:r>
          </w:p>
        </w:tc>
      </w:tr>
      <w:tr>
        <w:tc>
          <w:tcPr>
            <w:tcW w:type="dxa" w:w="4320"/>
          </w:tcPr>
          <w:p>
            <w:r>
              <w:rPr>
                <w:b/>
              </w:rPr>
              <w:t>Assignee</w:t>
            </w:r>
          </w:p>
        </w:tc>
        <w:tc>
          <w:tcPr>
            <w:tcW w:type="dxa" w:w="4320"/>
          </w:tcPr>
          <w:p>
            <w:r>
              <w:t>Yerra, Bijay</w:t>
            </w:r>
          </w:p>
        </w:tc>
      </w:tr>
      <w:tr>
        <w:tc>
          <w:tcPr>
            <w:tcW w:type="dxa" w:w="4320"/>
          </w:tcPr>
          <w:p>
            <w:r>
              <w:rPr>
                <w:b/>
              </w:rPr>
              <w:t>Channel</w:t>
            </w:r>
          </w:p>
        </w:tc>
        <w:tc>
          <w:tcPr>
            <w:tcW w:type="dxa" w:w="4320"/>
          </w:tcPr>
          <w:p>
            <w:r>
              <w:t>ITMBO, NBOP</w:t>
            </w:r>
          </w:p>
        </w:tc>
      </w:tr>
      <w:tr>
        <w:tc>
          <w:tcPr>
            <w:tcW w:type="dxa" w:w="4320"/>
          </w:tcPr>
          <w:p>
            <w:r>
              <w:rPr>
                <w:b/>
              </w:rPr>
              <w:t>Labels</w:t>
            </w:r>
          </w:p>
        </w:tc>
        <w:tc>
          <w:tcPr>
            <w:tcW w:type="dxa" w:w="4320"/>
          </w:tcPr>
          <w:p>
            <w:r>
              <w:t>CHPROJECT-18431, PI-53, TMO_MVP+, bpo</w:t>
            </w:r>
          </w:p>
        </w:tc>
      </w:tr>
      <w:tr>
        <w:tc>
          <w:tcPr>
            <w:tcW w:type="dxa" w:w="4320"/>
          </w:tcPr>
          <w:p>
            <w:r>
              <w:rPr>
                <w:b/>
              </w:rPr>
              <w:t>Generated</w:t>
            </w:r>
          </w:p>
        </w:tc>
        <w:tc>
          <w:tcPr>
            <w:tcW w:type="dxa" w:w="4320"/>
          </w:tcPr>
          <w:p>
            <w:r>
              <w:t>2026-04-20 15:40</w:t>
            </w:r>
          </w:p>
        </w:tc>
      </w:tr>
    </w:tbl>
    <w:p>
      <w:pPr>
        <w:pStyle w:val="Heading1"/>
      </w:pPr>
      <w:r>
        <w:t>2. Objective</w:t>
      </w:r>
    </w:p>
    <w:p>
      <w:r>
        <w:t>Validate the [NSLNM, INTG]: New MVNO - Order Inquiry feature for TMO MVNO provisioning. [NSLNM,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w:t>
      </w:r>
    </w:p>
    <w:p>
      <w:pPr>
        <w:pStyle w:val="Heading1"/>
      </w:pPr>
      <w:r>
        <w:t>3. Scope &amp; Business Rules</w:t>
      </w:r>
    </w:p>
    <w:p>
      <w:r>
        <w:t>[NSLNM, NBOP, INTG]: New MVNO - Order Inquiry</w:t>
        <w:br/>
        <w:t>This change enhances the NBOP UI and the NSL Order Inquiry API to support querying order status by Reference Number for both TMO and Verizon while preserving BAU querying options and enforcing the same validation rules. Currently, the NBOP UI issues an Order Inquiry API that defaults to using Verizon as the MNO and supports querying based on Reference Number per BAU, and the NSL API /nsl/provisioning/mno/v1/order-inquiry/{REF_NUM} supports the current BAU Verizon request, returning the order status that NBOP displays.</w:t>
        <w:br/>
        <w:t>Now, when a user with the MNO_TMO permission accesses the Network Inquiry -&gt; Network Inquiry screen in NBOP, a new set of MNO-selection radio buttons (TMO vs Verizon) will be displayed, and the user will still be able to query the Order based on Reference Number as per BAU; the selected MNO will determine the requestType header (TMO vs MNO) on the API call to /nsl/provisioning/mno/v1/order-inquiry/{REF_NUM}.</w:t>
        <w:br/>
        <w:t xml:space="preserve">For users without </w:t>
      </w:r>
    </w:p>
    <w:p>
      <w:pPr>
        <w:pStyle w:val="Heading1"/>
      </w:pPr>
      <w:r>
        <w:t>4. Acceptance Criteria</w:t>
      </w:r>
    </w:p>
    <w:p>
      <w:pPr>
        <w:pStyle w:val="ListNumber"/>
      </w:pPr>
      <w:r>
        <w:t>1. Regardless of the TMO or VZW flow type, the response sent back for new MNO or Vzw lines should remain same as to what is currently defined.</w:t>
      </w:r>
    </w:p>
    <w:p>
      <w:pPr>
        <w:pStyle w:val="ListNumber"/>
      </w:pPr>
      <w:r>
        <w:t>2. Test strategy document is available.</w:t>
      </w:r>
    </w:p>
    <w:p>
      <w:pPr>
        <w:pStyle w:val="ListNumber"/>
      </w:pPr>
      <w:r>
        <w:t>3. KPIs and SLAs should be BAU.</w:t>
      </w:r>
    </w:p>
    <w:p>
      <w:pPr>
        <w:pStyle w:val="ListNumber"/>
      </w:pPr>
      <w:r>
        <w:t>4. Updated HLD.</w:t>
      </w:r>
    </w:p>
    <w:p>
      <w:pPr>
        <w:pStyle w:val="Heading1"/>
      </w:pPr>
      <w:r>
        <w:t>5. Test Coverage Summary</w:t>
      </w:r>
    </w:p>
    <w:tbl>
      <w:tblPr>
        <w:tblStyle w:val="LightGrid-Accent1"/>
        <w:tblW w:type="auto" w:w="0"/>
        <w:tblLook w:firstColumn="1" w:firstRow="1" w:lastColumn="0" w:lastRow="0" w:noHBand="0" w:noVBand="1" w:val="04A0"/>
      </w:tblPr>
      <w:tblGrid>
        <w:gridCol w:w="4320"/>
        <w:gridCol w:w="4320"/>
      </w:tblGrid>
      <w:tr>
        <w:tc>
          <w:tcPr>
            <w:tcW w:type="dxa" w:w="4320"/>
          </w:tcPr>
          <w:p>
            <w:r>
              <w:t>Total Test Cases</w:t>
            </w:r>
          </w:p>
        </w:tc>
        <w:tc>
          <w:tcPr>
            <w:tcW w:type="dxa" w:w="4320"/>
          </w:tcPr>
          <w:p>
            <w:r>
              <w:t>24</w:t>
            </w:r>
          </w:p>
        </w:tc>
      </w:tr>
      <w:tr>
        <w:tc>
          <w:tcPr>
            <w:tcW w:type="dxa" w:w="4320"/>
          </w:tcPr>
          <w:p>
            <w:r>
              <w:t>Total Test Steps</w:t>
            </w:r>
          </w:p>
        </w:tc>
        <w:tc>
          <w:tcPr>
            <w:tcW w:type="dxa" w:w="4320"/>
          </w:tcPr>
          <w:p>
            <w:r>
              <w:t>84</w:t>
            </w:r>
          </w:p>
        </w:tc>
      </w:tr>
      <w:tr>
        <w:tc>
          <w:tcPr>
            <w:tcW w:type="dxa" w:w="4320"/>
          </w:tcPr>
          <w:p>
            <w:r>
              <w:t>Happy Path Scenarios</w:t>
            </w:r>
          </w:p>
        </w:tc>
        <w:tc>
          <w:tcPr>
            <w:tcW w:type="dxa" w:w="4320"/>
          </w:tcPr>
          <w:p>
            <w:r>
              <w:t>15</w:t>
            </w:r>
          </w:p>
        </w:tc>
      </w:tr>
      <w:tr>
        <w:tc>
          <w:tcPr>
            <w:tcW w:type="dxa" w:w="4320"/>
          </w:tcPr>
          <w:p>
            <w:r>
              <w:t>Negative Scenarios</w:t>
            </w:r>
          </w:p>
        </w:tc>
        <w:tc>
          <w:tcPr>
            <w:tcW w:type="dxa" w:w="4320"/>
          </w:tcPr>
          <w:p>
            <w:r>
              <w:t>7</w:t>
            </w:r>
          </w:p>
        </w:tc>
      </w:tr>
      <w:tr>
        <w:tc>
          <w:tcPr>
            <w:tcW w:type="dxa" w:w="4320"/>
          </w:tcPr>
          <w:p>
            <w:r>
              <w:t>Edge Case Scenarios</w:t>
            </w:r>
          </w:p>
        </w:tc>
        <w:tc>
          <w:tcPr>
            <w:tcW w:type="dxa" w:w="4320"/>
          </w:tcPr>
          <w:p>
            <w:r>
              <w:t>2</w:t>
            </w:r>
          </w:p>
        </w:tc>
      </w:tr>
    </w:tbl>
    <w:p/>
    <w:p>
      <w:r>
        <w:rPr>
          <w:b/>
        </w:rPr>
        <w:t xml:space="preserve">Priority Distribution: </w:t>
      </w:r>
      <w:r>
        <w:t xml:space="preserve">P1=6  </w:t>
      </w:r>
      <w:r>
        <w:t xml:space="preserve">P2=9  </w:t>
      </w:r>
      <w:r>
        <w:t xml:space="preserve">P3=9  </w:t>
      </w:r>
    </w:p>
    <w:p>
      <w:pPr>
        <w:pStyle w:val="Heading1"/>
      </w:pPr>
      <w:r>
        <w:t>6. Test Scenarios</w:t>
      </w:r>
    </w:p>
    <w:p>
      <w:pPr>
        <w:pStyle w:val="Heading2"/>
      </w:pPr>
      <w:r>
        <w:t>Happy Path</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TC01</w:t>
            </w:r>
          </w:p>
        </w:tc>
        <w:tc>
          <w:tcPr>
            <w:tcW w:type="dxa" w:w="2880"/>
          </w:tcPr>
          <w:p>
            <w:r>
              <w:t>Validate Successful rendering of the Network Inquiry UI for a user with MNO_TMO permission, ensuring radio buttons for T</w:t>
            </w:r>
          </w:p>
        </w:tc>
        <w:tc>
          <w:tcPr>
            <w:tcW w:type="dxa" w:w="2880"/>
          </w:tcPr>
          <w:p>
            <w:r>
              <w:t>P1</w:t>
            </w:r>
          </w:p>
        </w:tc>
      </w:tr>
      <w:tr>
        <w:tc>
          <w:tcPr>
            <w:tcW w:type="dxa" w:w="2880"/>
          </w:tcPr>
          <w:p>
            <w:r>
              <w:t>TC02</w:t>
            </w:r>
          </w:p>
        </w:tc>
        <w:tc>
          <w:tcPr>
            <w:tcW w:type="dxa" w:w="2880"/>
          </w:tcPr>
          <w:p>
            <w:r>
              <w:t xml:space="preserve">Validate Successful Order Inquiry query for a TMO subscriber using MDN under user with MNO_TMO permission selecting the </w:t>
            </w:r>
          </w:p>
        </w:tc>
        <w:tc>
          <w:tcPr>
            <w:tcW w:type="dxa" w:w="2880"/>
          </w:tcPr>
          <w:p>
            <w:r>
              <w:t>P1</w:t>
            </w:r>
          </w:p>
        </w:tc>
      </w:tr>
      <w:tr>
        <w:tc>
          <w:tcPr>
            <w:tcW w:type="dxa" w:w="2880"/>
          </w:tcPr>
          <w:p>
            <w:r>
              <w:t>TC03</w:t>
            </w:r>
          </w:p>
        </w:tc>
        <w:tc>
          <w:tcPr>
            <w:tcW w:type="dxa" w:w="2880"/>
          </w:tcPr>
          <w:p>
            <w:r>
              <w:t>Validate Successful eSIM status query for a Verizon subscriber using MDN under user with or without MNO_TMO permission w</w:t>
            </w:r>
          </w:p>
        </w:tc>
        <w:tc>
          <w:tcPr>
            <w:tcW w:type="dxa" w:w="2880"/>
          </w:tcPr>
          <w:p>
            <w:r>
              <w:t>P1</w:t>
            </w:r>
          </w:p>
        </w:tc>
      </w:tr>
      <w:tr>
        <w:tc>
          <w:tcPr>
            <w:tcW w:type="dxa" w:w="2880"/>
          </w:tcPr>
          <w:p>
            <w:r>
              <w:t>TC04</w:t>
            </w:r>
          </w:p>
        </w:tc>
        <w:tc>
          <w:tcPr>
            <w:tcW w:type="dxa" w:w="2880"/>
          </w:tcPr>
          <w:p>
            <w:r>
              <w:t>Validate Successful Order Inquiry API for a TMO subscriber called with requestType=TMO, ensuring a valid Reference Numbe</w:t>
            </w:r>
          </w:p>
        </w:tc>
        <w:tc>
          <w:tcPr>
            <w:tcW w:type="dxa" w:w="2880"/>
          </w:tcPr>
          <w:p>
            <w:r>
              <w:t>P1</w:t>
            </w:r>
          </w:p>
        </w:tc>
      </w:tr>
      <w:tr>
        <w:tc>
          <w:tcPr>
            <w:tcW w:type="dxa" w:w="2880"/>
          </w:tcPr>
          <w:p>
            <w:r>
              <w:t>TC05</w:t>
            </w:r>
          </w:p>
        </w:tc>
        <w:tc>
          <w:tcPr>
            <w:tcW w:type="dxa" w:w="2880"/>
          </w:tcPr>
          <w:p>
            <w:r>
              <w:t>Validate Order Inquiry happy path</w:t>
            </w:r>
          </w:p>
        </w:tc>
        <w:tc>
          <w:tcPr>
            <w:tcW w:type="dxa" w:w="2880"/>
          </w:tcPr>
          <w:p>
            <w:r>
              <w:t>P1</w:t>
            </w:r>
          </w:p>
        </w:tc>
      </w:tr>
      <w:tr>
        <w:tc>
          <w:tcPr>
            <w:tcW w:type="dxa" w:w="2880"/>
          </w:tcPr>
          <w:p>
            <w:r>
              <w:t>TC07</w:t>
            </w:r>
          </w:p>
        </w:tc>
        <w:tc>
          <w:tcPr>
            <w:tcW w:type="dxa" w:w="2880"/>
          </w:tcPr>
          <w:p>
            <w:r>
              <w:t>Validate Order Inquiry through NBOP</w:t>
            </w:r>
          </w:p>
        </w:tc>
        <w:tc>
          <w:tcPr>
            <w:tcW w:type="dxa" w:w="2880"/>
          </w:tcPr>
          <w:p>
            <w:r>
              <w:t>P2</w:t>
            </w:r>
          </w:p>
        </w:tc>
      </w:tr>
      <w:tr>
        <w:tc>
          <w:tcPr>
            <w:tcW w:type="dxa" w:w="2880"/>
          </w:tcPr>
          <w:p>
            <w:r>
              <w:t>TC16</w:t>
            </w:r>
          </w:p>
        </w:tc>
        <w:tc>
          <w:tcPr>
            <w:tcW w:type="dxa" w:w="2880"/>
          </w:tcPr>
          <w:p>
            <w:r>
              <w:t>Validate Successful eSIM status query for a Verizon subscriber using MDN under user with or without MNO_TMO permission w</w:t>
            </w:r>
          </w:p>
        </w:tc>
        <w:tc>
          <w:tcPr>
            <w:tcW w:type="dxa" w:w="2880"/>
          </w:tcPr>
          <w:p>
            <w:r>
              <w:t>P3</w:t>
            </w:r>
          </w:p>
        </w:tc>
      </w:tr>
      <w:tr>
        <w:tc>
          <w:tcPr>
            <w:tcW w:type="dxa" w:w="2880"/>
          </w:tcPr>
          <w:p>
            <w:r>
              <w:t>TC17</w:t>
            </w:r>
          </w:p>
        </w:tc>
        <w:tc>
          <w:tcPr>
            <w:tcW w:type="dxa" w:w="2880"/>
          </w:tcPr>
          <w:p>
            <w:r>
              <w:t>Verify Syniverse is NOT called during Order Inquiry</w:t>
            </w:r>
          </w:p>
        </w:tc>
        <w:tc>
          <w:tcPr>
            <w:tcW w:type="dxa" w:w="2880"/>
          </w:tcPr>
          <w:p>
            <w:r>
              <w:t>P3</w:t>
            </w:r>
          </w:p>
        </w:tc>
      </w:tr>
      <w:tr>
        <w:tc>
          <w:tcPr>
            <w:tcW w:type="dxa" w:w="2880"/>
          </w:tcPr>
          <w:p>
            <w:r>
              <w:t>TC18</w:t>
            </w:r>
          </w:p>
        </w:tc>
        <w:tc>
          <w:tcPr>
            <w:tcW w:type="dxa" w:w="2880"/>
          </w:tcPr>
          <w:p>
            <w:r>
              <w:t>Verify NSL DB state is consistent after successful Order Inquiry</w:t>
            </w:r>
          </w:p>
        </w:tc>
        <w:tc>
          <w:tcPr>
            <w:tcW w:type="dxa" w:w="2880"/>
          </w:tcPr>
          <w:p>
            <w:r>
              <w:t>P3</w:t>
            </w:r>
          </w:p>
        </w:tc>
      </w:tr>
      <w:tr>
        <w:tc>
          <w:tcPr>
            <w:tcW w:type="dxa" w:w="2880"/>
          </w:tcPr>
          <w:p>
            <w:r>
              <w:t>TC19</w:t>
            </w:r>
          </w:p>
        </w:tc>
        <w:tc>
          <w:tcPr>
            <w:tcW w:type="dxa" w:w="2880"/>
          </w:tcPr>
          <w:p>
            <w:r>
              <w:t>Validate subscriber profile displays correctly for Order Inquiry</w:t>
            </w:r>
          </w:p>
        </w:tc>
        <w:tc>
          <w:tcPr>
            <w:tcW w:type="dxa" w:w="2880"/>
          </w:tcPr>
          <w:p>
            <w:r>
              <w:t>P3</w:t>
            </w:r>
          </w:p>
        </w:tc>
      </w:tr>
      <w:tr>
        <w:tc>
          <w:tcPr>
            <w:tcW w:type="dxa" w:w="2880"/>
          </w:tcPr>
          <w:p>
            <w:r>
              <w:t>TC20</w:t>
            </w:r>
          </w:p>
        </w:tc>
        <w:tc>
          <w:tcPr>
            <w:tcW w:type="dxa" w:w="2880"/>
          </w:tcPr>
          <w:p>
            <w:r>
              <w:t>Validate Device Information section updates after Order Inquiry</w:t>
            </w:r>
          </w:p>
        </w:tc>
        <w:tc>
          <w:tcPr>
            <w:tcW w:type="dxa" w:w="2880"/>
          </w:tcPr>
          <w:p>
            <w:r>
              <w:t>P3</w:t>
            </w:r>
          </w:p>
        </w:tc>
      </w:tr>
      <w:tr>
        <w:tc>
          <w:tcPr>
            <w:tcW w:type="dxa" w:w="2880"/>
          </w:tcPr>
          <w:p>
            <w:r>
              <w:t>TC21</w:t>
            </w:r>
          </w:p>
        </w:tc>
        <w:tc>
          <w:tcPr>
            <w:tcW w:type="dxa" w:w="2880"/>
          </w:tcPr>
          <w:p>
            <w:r>
              <w:t>Verify Order Inquiry API response payload contains all required fields</w:t>
            </w:r>
          </w:p>
        </w:tc>
        <w:tc>
          <w:tcPr>
            <w:tcW w:type="dxa" w:w="2880"/>
          </w:tcPr>
          <w:p>
            <w:r>
              <w:t>P3</w:t>
            </w:r>
          </w:p>
        </w:tc>
      </w:tr>
      <w:tr>
        <w:tc>
          <w:tcPr>
            <w:tcW w:type="dxa" w:w="2880"/>
          </w:tcPr>
          <w:p>
            <w:r>
              <w:t>TC22</w:t>
            </w:r>
          </w:p>
        </w:tc>
        <w:tc>
          <w:tcPr>
            <w:tcW w:type="dxa" w:w="2880"/>
          </w:tcPr>
          <w:p>
            <w:r>
              <w:t>Validate As NSL, it should ensure that order inquiry api works for both TMO and VZW subscribers</w:t>
            </w:r>
          </w:p>
        </w:tc>
        <w:tc>
          <w:tcPr>
            <w:tcW w:type="dxa" w:w="2880"/>
          </w:tcPr>
          <w:p>
            <w:r>
              <w:t>P3</w:t>
            </w:r>
          </w:p>
        </w:tc>
      </w:tr>
      <w:tr>
        <w:tc>
          <w:tcPr>
            <w:tcW w:type="dxa" w:w="2880"/>
          </w:tcPr>
          <w:p>
            <w:r>
              <w:t>TC23</w:t>
            </w:r>
          </w:p>
        </w:tc>
        <w:tc>
          <w:tcPr>
            <w:tcW w:type="dxa" w:w="2880"/>
          </w:tcPr>
          <w:p>
            <w:r>
              <w:t>Validate Request and response payload remains same as what is currently implemented for VZW</w:t>
            </w:r>
          </w:p>
        </w:tc>
        <w:tc>
          <w:tcPr>
            <w:tcW w:type="dxa" w:w="2880"/>
          </w:tcPr>
          <w:p>
            <w:r>
              <w:t>P3</w:t>
            </w:r>
          </w:p>
        </w:tc>
      </w:tr>
      <w:tr>
        <w:tc>
          <w:tcPr>
            <w:tcW w:type="dxa" w:w="2880"/>
          </w:tcPr>
          <w:p>
            <w:r>
              <w:t>TC24</w:t>
            </w:r>
          </w:p>
        </w:tc>
        <w:tc>
          <w:tcPr>
            <w:tcW w:type="dxa" w:w="2880"/>
          </w:tcPr>
          <w:p>
            <w:r>
              <w:t>UI Verify: Validate Restore result in NBOP portal</w:t>
            </w:r>
          </w:p>
        </w:tc>
        <w:tc>
          <w:tcPr>
            <w:tcW w:type="dxa" w:w="2880"/>
          </w:tcPr>
          <w:p>
            <w:r>
              <w:t>P3</w:t>
            </w:r>
          </w:p>
        </w:tc>
      </w:tr>
    </w:tbl>
    <w:p>
      <w:pPr>
        <w:pStyle w:val="Heading2"/>
      </w:pPr>
      <w:r>
        <w:t>Negative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TC06</w:t>
            </w:r>
          </w:p>
        </w:tc>
        <w:tc>
          <w:tcPr>
            <w:tcW w:type="dxa" w:w="2880"/>
          </w:tcPr>
          <w:p>
            <w:r>
              <w:t>Validate When a Reference Number is shorter than 10 or greater than 100 characters is provided, NBOP must show REFERENCE</w:t>
            </w:r>
          </w:p>
        </w:tc>
        <w:tc>
          <w:tcPr>
            <w:tcW w:type="dxa" w:w="2880"/>
          </w:tcPr>
          <w:p>
            <w:r>
              <w:t>P1</w:t>
            </w:r>
          </w:p>
        </w:tc>
      </w:tr>
      <w:tr>
        <w:tc>
          <w:tcPr>
            <w:tcW w:type="dxa" w:w="2880"/>
          </w:tcPr>
          <w:p>
            <w:r>
              <w:t>TC08</w:t>
            </w:r>
          </w:p>
        </w:tc>
        <w:tc>
          <w:tcPr>
            <w:tcW w:type="dxa" w:w="2880"/>
          </w:tcPr>
          <w:p>
            <w:r>
              <w:t>Validate When no Reference Number is provided in the Order Inquiry request, NSL API returns error code404 Not Found</w:t>
            </w:r>
          </w:p>
        </w:tc>
        <w:tc>
          <w:tcPr>
            <w:tcW w:type="dxa" w:w="2880"/>
          </w:tcPr>
          <w:p>
            <w:r>
              <w:t>P2</w:t>
            </w:r>
          </w:p>
        </w:tc>
      </w:tr>
      <w:tr>
        <w:tc>
          <w:tcPr>
            <w:tcW w:type="dxa" w:w="2880"/>
          </w:tcPr>
          <w:p>
            <w:r>
              <w:t>TC09</w:t>
            </w:r>
          </w:p>
        </w:tc>
        <w:tc>
          <w:tcPr>
            <w:tcW w:type="dxa" w:w="2880"/>
          </w:tcPr>
          <w:p>
            <w:r>
              <w:t xml:space="preserve">Validate When a Reference Number shorter than 10 characters is provided, it results in no order status returned and the </w:t>
            </w:r>
          </w:p>
        </w:tc>
        <w:tc>
          <w:tcPr>
            <w:tcW w:type="dxa" w:w="2880"/>
          </w:tcPr>
          <w:p>
            <w:r>
              <w:t>P2</w:t>
            </w:r>
          </w:p>
        </w:tc>
      </w:tr>
      <w:tr>
        <w:tc>
          <w:tcPr>
            <w:tcW w:type="dxa" w:w="2880"/>
          </w:tcPr>
          <w:p>
            <w:r>
              <w:t>TC10</w:t>
            </w:r>
          </w:p>
        </w:tc>
        <w:tc>
          <w:tcPr>
            <w:tcW w:type="dxa" w:w="2880"/>
          </w:tcPr>
          <w:p>
            <w:r>
              <w:t>Validate When a Reference Number greater than 100 characters is provided, it results in no order status returned and the</w:t>
            </w:r>
          </w:p>
        </w:tc>
        <w:tc>
          <w:tcPr>
            <w:tcW w:type="dxa" w:w="2880"/>
          </w:tcPr>
          <w:p>
            <w:r>
              <w:t>P2</w:t>
            </w:r>
          </w:p>
        </w:tc>
      </w:tr>
      <w:tr>
        <w:tc>
          <w:tcPr>
            <w:tcW w:type="dxa" w:w="2880"/>
          </w:tcPr>
          <w:p>
            <w:r>
              <w:t>TC11</w:t>
            </w:r>
          </w:p>
        </w:tc>
        <w:tc>
          <w:tcPr>
            <w:tcW w:type="dxa" w:w="2880"/>
          </w:tcPr>
          <w:p>
            <w:r>
              <w:t>Negative: Validate Order Inquiry rejects invalid MDN in NBOP</w:t>
            </w:r>
          </w:p>
        </w:tc>
        <w:tc>
          <w:tcPr>
            <w:tcW w:type="dxa" w:w="2880"/>
          </w:tcPr>
          <w:p>
            <w:r>
              <w:t>P2</w:t>
            </w:r>
          </w:p>
        </w:tc>
      </w:tr>
      <w:tr>
        <w:tc>
          <w:tcPr>
            <w:tcW w:type="dxa" w:w="2880"/>
          </w:tcPr>
          <w:p>
            <w:r>
              <w:t>TC12</w:t>
            </w:r>
          </w:p>
        </w:tc>
        <w:tc>
          <w:tcPr>
            <w:tcW w:type="dxa" w:w="2880"/>
          </w:tcPr>
          <w:p>
            <w:r>
              <w:t>Negative: Validate Order Inquiry handles non-existent MDN in NBOP</w:t>
            </w:r>
          </w:p>
        </w:tc>
        <w:tc>
          <w:tcPr>
            <w:tcW w:type="dxa" w:w="2880"/>
          </w:tcPr>
          <w:p>
            <w:r>
              <w:t>P2</w:t>
            </w:r>
          </w:p>
        </w:tc>
      </w:tr>
      <w:tr>
        <w:tc>
          <w:tcPr>
            <w:tcW w:type="dxa" w:w="2880"/>
          </w:tcPr>
          <w:p>
            <w:r>
              <w:t>TC13</w:t>
            </w:r>
          </w:p>
        </w:tc>
        <w:tc>
          <w:tcPr>
            <w:tcW w:type="dxa" w:w="2880"/>
          </w:tcPr>
          <w:p>
            <w:r>
              <w:t>Negative: Verify Order Inquiry rolls back cleanly on mid-operation failure</w:t>
            </w:r>
          </w:p>
        </w:tc>
        <w:tc>
          <w:tcPr>
            <w:tcW w:type="dxa" w:w="2880"/>
          </w:tcPr>
          <w:p>
            <w:r>
              <w:t>P2</w:t>
            </w:r>
          </w:p>
        </w:tc>
      </w:tr>
    </w:tbl>
    <w:p>
      <w:pPr>
        <w:pStyle w:val="Heading2"/>
      </w:pPr>
      <w:r>
        <w:t>Edge Case</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rPr>
                <w:b/>
              </w:rPr>
              <w:t>TC#</w:t>
            </w:r>
          </w:p>
        </w:tc>
        <w:tc>
          <w:tcPr>
            <w:tcW w:type="dxa" w:w="2880"/>
          </w:tcPr>
          <w:p>
            <w:r>
              <w:rPr>
                <w:b/>
              </w:rPr>
              <w:t>Scenario</w:t>
            </w:r>
          </w:p>
        </w:tc>
        <w:tc>
          <w:tcPr>
            <w:tcW w:type="dxa" w:w="2880"/>
          </w:tcPr>
          <w:p>
            <w:r>
              <w:rPr>
                <w:b/>
              </w:rPr>
              <w:t>Priority</w:t>
            </w:r>
          </w:p>
        </w:tc>
      </w:tr>
      <w:tr>
        <w:tc>
          <w:tcPr>
            <w:tcW w:type="dxa" w:w="2880"/>
          </w:tcPr>
          <w:p>
            <w:r>
              <w:t>TC14</w:t>
            </w:r>
          </w:p>
        </w:tc>
        <w:tc>
          <w:tcPr>
            <w:tcW w:type="dxa" w:w="2880"/>
          </w:tcPr>
          <w:p>
            <w:r>
              <w:t>Verify Order Inquiry rejects duplicate request for same MDN within processing window</w:t>
            </w:r>
          </w:p>
        </w:tc>
        <w:tc>
          <w:tcPr>
            <w:tcW w:type="dxa" w:w="2880"/>
          </w:tcPr>
          <w:p>
            <w:r>
              <w:t>P2</w:t>
            </w:r>
          </w:p>
        </w:tc>
      </w:tr>
      <w:tr>
        <w:tc>
          <w:tcPr>
            <w:tcW w:type="dxa" w:w="2880"/>
          </w:tcPr>
          <w:p>
            <w:r>
              <w:t>TC15</w:t>
            </w:r>
          </w:p>
        </w:tc>
        <w:tc>
          <w:tcPr>
            <w:tcW w:type="dxa" w:w="2880"/>
          </w:tcPr>
          <w:p>
            <w:r>
              <w:t>Edge Case: Validate Order Inquiry handles session timeout in NBOP</w:t>
            </w:r>
          </w:p>
        </w:tc>
        <w:tc>
          <w:tcPr>
            <w:tcW w:type="dxa" w:w="2880"/>
          </w:tcPr>
          <w:p>
            <w:r>
              <w:t>P2</w:t>
            </w:r>
          </w:p>
        </w:tc>
      </w:tr>
    </w:tbl>
    <w:p>
      <w:pPr>
        <w:pStyle w:val="Heading1"/>
      </w:pPr>
      <w:r>
        <w:t>7. Data Sources</w:t>
      </w:r>
    </w:p>
    <w:p>
      <w:pPr>
        <w:pStyle w:val="ListBullet"/>
      </w:pPr>
      <w:r>
        <w:t>Jira: MWTGPROV-4007 (Description, AC, Labels, Links)</w:t>
      </w:r>
    </w:p>
    <w:p>
      <w:pPr>
        <w:pStyle w:val="ListBullet"/>
      </w:pPr>
      <w:r>
        <w:t>Jira Comments: 1 comments scanned</w:t>
      </w:r>
    </w:p>
    <w:p>
      <w:pPr>
        <w:pStyle w:val="ListBullet"/>
      </w:pPr>
      <w:r>
        <w:t>Jira Subtasks: 1 subtasks scanned</w:t>
      </w:r>
    </w:p>
    <w:p>
      <w:pPr>
        <w:pStyle w:val="ListBullet"/>
      </w:pPr>
      <w:r>
        <w:t>Jira Links: MWTGPROV-4337</w:t>
      </w:r>
    </w:p>
    <w:p>
      <w:pPr>
        <w:pStyle w:val="ListBullet"/>
      </w:pPr>
      <w:r>
        <w:t>Chalk: MWTGPROV-4007 section (9 scenarios)</w:t>
      </w:r>
    </w:p>
    <w:p>
      <w:pPr>
        <w:pStyle w:val="Heading1"/>
      </w:pPr>
      <w:r>
        <w:t>8. Linked Issues</w:t>
      </w:r>
    </w:p>
    <w:p>
      <w:pPr>
        <w:pStyle w:val="ListBullet"/>
      </w:pPr>
      <w:r>
        <w:t>MWTGPROV-4337 — [NBOP, INTG]: New MVNO - Order Inquiry (Split 1)</w:t>
      </w:r>
    </w:p>
    <w:p>
      <w:pPr>
        <w:pStyle w:val="Heading1"/>
      </w:pPr>
      <w:r>
        <w:t>9. Warnings &amp; Open Items</w:t>
      </w:r>
    </w:p>
    <w:p>
      <w:pPr>
        <w:pStyle w:val="ListBullet"/>
      </w:pPr>
      <w:r>
        <w:t>AC not covered: "Test strategy document is available."</w:t>
      </w:r>
    </w:p>
    <w:p>
      <w:pPr>
        <w:pStyle w:val="ListBullet"/>
      </w:pPr>
      <w:r>
        <w:t>AC not covered: "Updated HLD."</w:t>
      </w:r>
    </w:p>
    <w:p>
      <w:pPr>
        <w:pStyle w:val="ListBullet"/>
      </w:pPr>
      <w:r>
        <w:t>Mandatory check missing: Hotlined MDN</w:t>
      </w:r>
    </w:p>
    <w:p>
      <w:pPr>
        <w:pStyle w:val="ListBullet"/>
      </w:pPr>
      <w:r>
        <w:t>Mandatory check missing: Deactivated MDN</w:t>
      </w:r>
    </w:p>
    <w:p>
      <w:pPr>
        <w:pStyle w:val="ListBullet"/>
      </w:pPr>
      <w:r>
        <w:t>Mandatory check missing: Invalid LineId</w:t>
      </w:r>
    </w:p>
    <w:p>
      <w:pPr>
        <w:pStyle w:val="ListBullet"/>
      </w:pPr>
      <w:r>
        <w:t>Mandatory check missing: Invalid AccountId</w:t>
      </w:r>
    </w:p>
    <w:p>
      <w:pPr>
        <w:pStyle w:val="ListBullet"/>
      </w:pPr>
      <w:r>
        <w:t>Mandatory check missing: Transaction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