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09:22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154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P2=19  </w:t>
      </w:r>
      <w:r>
        <w:t xml:space="preserve">P3=17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Hotline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Status=Active, NSL Status=Active, Syniverse Action=No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Status=Deactive, NSL Status=Hotline, Syniverse Action=No action (TMO doesn’t expose hotl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As NSL, Sync subscriber api should be available for both VZW and TMO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For YL transaction* status NSL to ensure the following actions on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hotlined and ho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Invalid AccountId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LineId AccountId mismatch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Sync Subscriber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Sync Subscriber handles Syniverse HTTP 401 Unauthorized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Verify Sync Subscriber handles Syniverse HTTP 403 Forbidden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