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[NSLNM, MED, NBOP,  INTG]: New MVNO - MHS data usage will be handled separately from primary data usage on customer's line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09:22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MED, NBOP,  INTG]: New MVNO - MHS data usage will be handled separately from primary data usage on customer's line  feature for TMO MVNO provisioning. 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</w:r>
    </w:p>
    <w:p>
      <w:pPr>
        <w:pStyle w:val="Heading1"/>
      </w:pPr>
      <w:r>
        <w:t>3. Scope &amp; Business Rules</w:t>
      </w:r>
    </w:p>
    <w:p>
      <w:r>
        <w:t>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P2=14  </w:t>
      </w:r>
      <w:r>
        <w:t xml:space="preserve">P3=20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reaching the primary data limit does NOT impact MHS data allowance for an MVNO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the NC_DODR_TETHA require rule enforces NC_DODR_B as a prerequisite during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MHS data usage will be handled recorded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MHS data usage will be handled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MHS threshold notifications are sent independently at 80%, and 100% of MHS data limit without affecting primary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that Mediation PRR file processing correctly identifies MHS usage records (CATEGORY=HOTSPOT) and routes them to 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APOLLO_NE is NOT called during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NSL DB state is consistent after successful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MHS data usage will be handled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Century Report logs all MHS data usage will be handled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NBOP MIG tables reflect correct state after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the buckets fro MHS have been changed Updated to ensure the data from regular bucket is not consumed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Validate MHS data usage will be handled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that NC_DODR_TETHA is NOT returned by system catalog eligibility rule when rate plan is not CMUNL or CMUNLP ( i,e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that deactivation of line with active NC_DODR_TETHA feature correctly updates Mediation subscriber profile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MHS data usage will be handled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MHS and primary data bucket behavior when both buckets reach 100% simultaneously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MHS data bucket behavior during bill cycle reset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MHS bucket behavior when subscriber changes rate plan from CMUNL to CMUNLP mid-cycle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MHS bucket behavior when subscriber downgrades from CMUNLP to CMUNL mid-cycle with MHS usage exceeding new limit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that NC_DODR_TETHA feature is NOT applied to international roaming MHS usage — domestic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MHS bucket behavior for reconnect-within-bill-cycle scenario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MHS bucket behavior during Change MDN operation for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MHS bucket behavior when Mediation receives PRR records across 4G and 5G record types with HOTSPOT category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that Change Device operation preserves NC_DODR_TETHA feature and MHS bucket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Regression: Verify Line Inquiry and Service Grouping unaffected by MHS data usage will be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MWTGPROV-4059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MOBIT2-58472</w:t>
      </w:r>
    </w:p>
    <w:p>
      <w:pPr>
        <w:pStyle w:val="ListBullet"/>
      </w:pPr>
      <w:r>
        <w:t>Chalk: MWTGPROV-4059 section (19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MOBIT2-58472 — CR - Separate domestic Mobile hotspot data usage from primary data usage for TMO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