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Feature Objective &amp; Test Summary</w:t>
      </w:r>
    </w:p>
    <w:p/>
    <w:p>
      <w:pPr>
        <w:pStyle w:val="Heading1"/>
      </w:pPr>
      <w:r>
        <w:t>1. Feature Overview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  <w:t>Feature ID</w:t>
            </w:r>
          </w:p>
        </w:tc>
        <w:tc>
          <w:tcPr>
            <w:tcW w:type="dxa" w:w="4320"/>
          </w:tcPr>
          <w:p>
            <w:r>
              <w:t>MWTGPROV-4059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Title</w:t>
            </w:r>
          </w:p>
        </w:tc>
        <w:tc>
          <w:tcPr>
            <w:tcW w:type="dxa" w:w="4320"/>
          </w:tcPr>
          <w:p>
            <w:r>
              <w:t xml:space="preserve">[NSLNM, MED, NBOP,  INTG]: New MVNO - MHS data usage will be handled separately from primary data usage on customer's line 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PI</w:t>
            </w:r>
          </w:p>
        </w:tc>
        <w:tc>
          <w:tcPr>
            <w:tcW w:type="dxa" w:w="4320"/>
          </w:tcPr>
          <w:p>
            <w:r>
              <w:t>PI-53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Status</w:t>
            </w:r>
          </w:p>
        </w:tc>
        <w:tc>
          <w:tcPr>
            <w:tcW w:type="dxa" w:w="4320"/>
          </w:tcPr>
          <w:p>
            <w:r>
              <w:t>Dev Complete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Priority</w:t>
            </w:r>
          </w:p>
        </w:tc>
        <w:tc>
          <w:tcPr>
            <w:tcW w:type="dxa" w:w="4320"/>
          </w:tcPr>
          <w:p>
            <w:r>
              <w:t>Critical/High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Assignee</w:t>
            </w:r>
          </w:p>
        </w:tc>
        <w:tc>
          <w:tcPr>
            <w:tcW w:type="dxa" w:w="4320"/>
          </w:tcPr>
          <w:p>
            <w:r>
              <w:t>Yerra, Bijay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Channel</w:t>
            </w:r>
          </w:p>
        </w:tc>
        <w:tc>
          <w:tcPr>
            <w:tcW w:type="dxa" w:w="4320"/>
          </w:tcPr>
          <w:p>
            <w:r>
              <w:t>ITMBO, NBOP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Labels</w:t>
            </w:r>
          </w:p>
        </w:tc>
        <w:tc>
          <w:tcPr>
            <w:tcW w:type="dxa" w:w="4320"/>
          </w:tcPr>
          <w:p>
            <w:r>
              <w:t>CHPROJECT-18431, PI-53, TMO_MVP+, bpo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Generated</w:t>
            </w:r>
          </w:p>
        </w:tc>
        <w:tc>
          <w:tcPr>
            <w:tcW w:type="dxa" w:w="4320"/>
          </w:tcPr>
          <w:p>
            <w:r>
              <w:t>2026-04-22 22:04</w:t>
            </w:r>
          </w:p>
        </w:tc>
      </w:tr>
    </w:tbl>
    <w:p>
      <w:pPr>
        <w:pStyle w:val="Heading1"/>
      </w:pPr>
      <w:r>
        <w:t>2. Objective</w:t>
      </w:r>
    </w:p>
    <w:p>
      <w:r>
        <w:t>Validate the [NSLNM, MED, NBOP,  INTG]: New MVNO - MHS data usage will be handled separately from primary data usage on customer's line  feature for TMO MVNO provisioning. - Separate MHS and primary data bucket tracking for  customers</w:t>
        <w:br/>
        <w:t>- Rate plan-driven data allowances (UNL: 30/10 GB, UNL+: 100/50 GB)</w:t>
        <w:br/>
        <w:t>- Independent bucket enforcement — one bucket at 100% does not affect the other</w:t>
        <w:br/>
        <w:t>- New feature NC_DODR_TETHA auto-included by NSL during activation (mandatory)</w:t>
        <w:br/>
        <w:t>- Catalog eligibility, require, and non-compatibility rules enforced</w:t>
        <w:br/>
        <w:t>- Applies to Phone and Tablet lines only (not Smartwatch, CBRS, HMNO)</w:t>
        <w:br/>
        <w:t>- No upgrade for existing lines — new activations only</w:t>
        <w:br/>
        <w:t>Scenario Number</w:t>
        <w:tab/>
      </w:r>
    </w:p>
    <w:p>
      <w:pPr>
        <w:pStyle w:val="Heading1"/>
      </w:pPr>
      <w:r>
        <w:t>3. Scope &amp; Business Rules</w:t>
      </w:r>
    </w:p>
    <w:p>
      <w:r>
        <w:t>- Separate MHS and primary data bucket tracking for  customers</w:t>
        <w:br/>
        <w:t>- Rate plan-driven data allowances (UNL: 30/10 GB, UNL+: 100/50 GB)</w:t>
        <w:br/>
        <w:t>- Independent bucket enforcement — one bucket at 100% does not affect the other</w:t>
        <w:br/>
        <w:t>- New feature NC_DODR_TETHA auto-included by NSL during activation (mandatory)</w:t>
        <w:br/>
        <w:t>- Catalog eligibility, require, and non-compatibility rules enforced</w:t>
        <w:br/>
        <w:t>- Applies to Phone and Tablet lines only (not Smartwatch, CBRS, HMNO)</w:t>
        <w:br/>
        <w:t>- No upgrade for existing lines — new activations only</w:t>
        <w:br/>
        <w:t>Scenario Number</w:t>
        <w:tab/>
        <w:t>Test Scenario</w:t>
        <w:tab/>
        <w:t>Validation</w:t>
        <w:tab/>
        <w:t>Category</w:t>
        <w:br/>
      </w:r>
    </w:p>
    <w:p>
      <w:pPr>
        <w:pStyle w:val="Heading1"/>
      </w:pPr>
      <w:r>
        <w:t>5. Test Coverage Summary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Total Test Cases</w:t>
            </w:r>
          </w:p>
        </w:tc>
        <w:tc>
          <w:tcPr>
            <w:tcW w:type="dxa" w:w="4320"/>
          </w:tcPr>
          <w:p>
            <w:r>
              <w:t>38</w:t>
            </w:r>
          </w:p>
        </w:tc>
      </w:tr>
      <w:tr>
        <w:tc>
          <w:tcPr>
            <w:tcW w:type="dxa" w:w="4320"/>
          </w:tcPr>
          <w:p>
            <w:r>
              <w:t>Total Test Steps</w:t>
            </w:r>
          </w:p>
        </w:tc>
        <w:tc>
          <w:tcPr>
            <w:tcW w:type="dxa" w:w="4320"/>
          </w:tcPr>
          <w:p>
            <w:r>
              <w:t>125</w:t>
            </w:r>
          </w:p>
        </w:tc>
      </w:tr>
      <w:tr>
        <w:tc>
          <w:tcPr>
            <w:tcW w:type="dxa" w:w="4320"/>
          </w:tcPr>
          <w:p>
            <w:r>
              <w:t>Happy Path Scenarios</w:t>
            </w:r>
          </w:p>
        </w:tc>
        <w:tc>
          <w:tcPr>
            <w:tcW w:type="dxa" w:w="4320"/>
          </w:tcPr>
          <w:p>
            <w:r>
              <w:t>16</w:t>
            </w:r>
          </w:p>
        </w:tc>
      </w:tr>
      <w:tr>
        <w:tc>
          <w:tcPr>
            <w:tcW w:type="dxa" w:w="4320"/>
          </w:tcPr>
          <w:p>
            <w:r>
              <w:t>Negative Scenarios</w:t>
            </w:r>
          </w:p>
        </w:tc>
        <w:tc>
          <w:tcPr>
            <w:tcW w:type="dxa" w:w="4320"/>
          </w:tcPr>
          <w:p>
            <w:r>
              <w:t>12</w:t>
            </w:r>
          </w:p>
        </w:tc>
      </w:tr>
      <w:tr>
        <w:tc>
          <w:tcPr>
            <w:tcW w:type="dxa" w:w="4320"/>
          </w:tcPr>
          <w:p>
            <w:r>
              <w:t>Edge Case Scenarios</w:t>
            </w:r>
          </w:p>
        </w:tc>
        <w:tc>
          <w:tcPr>
            <w:tcW w:type="dxa" w:w="4320"/>
          </w:tcPr>
          <w:p>
            <w:r>
              <w:t>10</w:t>
            </w:r>
          </w:p>
        </w:tc>
      </w:tr>
    </w:tbl>
    <w:p/>
    <w:p>
      <w:r>
        <w:rPr>
          <w:b/>
        </w:rPr>
        <w:t xml:space="preserve">Priority Distribution: </w:t>
      </w:r>
      <w:r>
        <w:t xml:space="preserve">P1=3  </w:t>
      </w:r>
      <w:r>
        <w:t xml:space="preserve">P2=14  </w:t>
      </w:r>
      <w:r>
        <w:t xml:space="preserve">P3=21  </w:t>
      </w:r>
    </w:p>
    <w:p>
      <w:pPr>
        <w:pStyle w:val="Heading1"/>
      </w:pPr>
      <w:r>
        <w:t>6. Test Scenarios</w:t>
      </w:r>
    </w:p>
    <w:p>
      <w:pPr>
        <w:pStyle w:val="Heading2"/>
      </w:pPr>
      <w:r>
        <w:t>Happy Path</w:t>
      </w:r>
    </w:p>
    <w:tbl>
      <w:tblPr>
        <w:tblStyle w:val="LightGrid-Accent1"/>
        <w:tblW w:type="auto" w:w="0"/>
        <w:jc w:val="left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  <w:t>TC#</w:t>
            </w:r>
          </w:p>
        </w:tc>
        <w:tc>
          <w:tcPr>
            <w:tcW w:type="dxa" w:w="2880"/>
          </w:tcPr>
          <w:p>
            <w:r>
              <w:rPr>
                <w:b/>
              </w:rPr>
              <w:t>Scenario</w:t>
            </w:r>
          </w:p>
        </w:tc>
        <w:tc>
          <w:tcPr>
            <w:tcW w:type="dxa" w:w="2880"/>
          </w:tcPr>
          <w:p>
            <w:r>
              <w:rPr>
                <w:b/>
              </w:rPr>
              <w:t>Priority</w:t>
            </w:r>
          </w:p>
        </w:tc>
      </w:tr>
      <w:tr>
        <w:tc>
          <w:tcPr>
            <w:tcW w:type="dxa" w:w="2880"/>
          </w:tcPr>
          <w:p>
            <w:r>
              <w:t>TC01</w:t>
            </w:r>
          </w:p>
        </w:tc>
        <w:tc>
          <w:tcPr>
            <w:tcW w:type="dxa" w:w="2880"/>
          </w:tcPr>
          <w:p>
            <w:r>
              <w:t>Verify that reaching the primary data limit does NOT impact MHS data allowance for an MVNO line</w:t>
            </w:r>
          </w:p>
        </w:tc>
        <w:tc>
          <w:tcPr>
            <w:tcW w:type="dxa" w:w="2880"/>
          </w:tcPr>
          <w:p>
            <w:r>
              <w:t>P1</w:t>
            </w:r>
          </w:p>
        </w:tc>
      </w:tr>
      <w:tr>
        <w:tc>
          <w:tcPr>
            <w:tcW w:type="dxa" w:w="2880"/>
          </w:tcPr>
          <w:p>
            <w:r>
              <w:t>TC02</w:t>
            </w:r>
          </w:p>
        </w:tc>
        <w:tc>
          <w:tcPr>
            <w:tcW w:type="dxa" w:w="2880"/>
          </w:tcPr>
          <w:p>
            <w:r>
              <w:t>Verify that the NC_DODR_TETHA require rule enforces NC_DODR_B as a prerequisite during activation</w:t>
            </w:r>
          </w:p>
        </w:tc>
        <w:tc>
          <w:tcPr>
            <w:tcW w:type="dxa" w:w="2880"/>
          </w:tcPr>
          <w:p>
            <w:r>
              <w:t>P1</w:t>
            </w:r>
          </w:p>
        </w:tc>
      </w:tr>
      <w:tr>
        <w:tc>
          <w:tcPr>
            <w:tcW w:type="dxa" w:w="2880"/>
          </w:tcPr>
          <w:p>
            <w:r>
              <w:t>TC04</w:t>
            </w:r>
          </w:p>
        </w:tc>
        <w:tc>
          <w:tcPr>
            <w:tcW w:type="dxa" w:w="2880"/>
          </w:tcPr>
          <w:p>
            <w:r>
              <w:t>Validate MHS data usage will be handled recorded in Transaction History</w:t>
            </w:r>
          </w:p>
        </w:tc>
        <w:tc>
          <w:tcPr>
            <w:tcW w:type="dxa" w:w="2880"/>
          </w:tcPr>
          <w:p>
            <w:r>
              <w:t>P2</w:t>
            </w:r>
          </w:p>
        </w:tc>
      </w:tr>
      <w:tr>
        <w:tc>
          <w:tcPr>
            <w:tcW w:type="dxa" w:w="2880"/>
          </w:tcPr>
          <w:p>
            <w:r>
              <w:t>TC05</w:t>
            </w:r>
          </w:p>
        </w:tc>
        <w:tc>
          <w:tcPr>
            <w:tcW w:type="dxa" w:w="2880"/>
          </w:tcPr>
          <w:p>
            <w:r>
              <w:t>E2E: Validate complete MHS data usage will be handled flow from trigger to final verification</w:t>
            </w:r>
          </w:p>
        </w:tc>
        <w:tc>
          <w:tcPr>
            <w:tcW w:type="dxa" w:w="2880"/>
          </w:tcPr>
          <w:p>
            <w:r>
              <w:t>P2</w:t>
            </w:r>
          </w:p>
        </w:tc>
      </w:tr>
      <w:tr>
        <w:tc>
          <w:tcPr>
            <w:tcW w:type="dxa" w:w="2880"/>
          </w:tcPr>
          <w:p>
            <w:r>
              <w:t>TC06</w:t>
            </w:r>
          </w:p>
        </w:tc>
        <w:tc>
          <w:tcPr>
            <w:tcW w:type="dxa" w:w="2880"/>
          </w:tcPr>
          <w:p>
            <w:r>
              <w:t>UI Verify: Validate Change Mdn result in NBOP portal</w:t>
            </w:r>
          </w:p>
        </w:tc>
        <w:tc>
          <w:tcPr>
            <w:tcW w:type="dxa" w:w="2880"/>
          </w:tcPr>
          <w:p>
            <w:r>
              <w:t>P2</w:t>
            </w:r>
          </w:p>
        </w:tc>
      </w:tr>
      <w:tr>
        <w:tc>
          <w:tcPr>
            <w:tcW w:type="dxa" w:w="2880"/>
          </w:tcPr>
          <w:p>
            <w:r>
              <w:t>TC18</w:t>
            </w:r>
          </w:p>
        </w:tc>
        <w:tc>
          <w:tcPr>
            <w:tcW w:type="dxa" w:w="2880"/>
          </w:tcPr>
          <w:p>
            <w:r>
              <w:t>Verify MHS threshold notifications are sent independently at 80%, and 100% of MHS data limit without affecting primary d</w:t>
            </w:r>
          </w:p>
        </w:tc>
        <w:tc>
          <w:tcPr>
            <w:tcW w:type="dxa" w:w="2880"/>
          </w:tcPr>
          <w:p>
            <w:r>
              <w:t>P3</w:t>
            </w:r>
          </w:p>
        </w:tc>
      </w:tr>
      <w:tr>
        <w:tc>
          <w:tcPr>
            <w:tcW w:type="dxa" w:w="2880"/>
          </w:tcPr>
          <w:p>
            <w:r>
              <w:t>TC19</w:t>
            </w:r>
          </w:p>
        </w:tc>
        <w:tc>
          <w:tcPr>
            <w:tcW w:type="dxa" w:w="2880"/>
          </w:tcPr>
          <w:p>
            <w:r>
              <w:t>Verify that Mediation PRR file processing correctly identifies MHS usage records (CATEGORY=HOTSPOT) and routes them to t</w:t>
            </w:r>
          </w:p>
        </w:tc>
        <w:tc>
          <w:tcPr>
            <w:tcW w:type="dxa" w:w="2880"/>
          </w:tcPr>
          <w:p>
            <w:r>
              <w:t>P3</w:t>
            </w:r>
          </w:p>
        </w:tc>
      </w:tr>
      <w:tr>
        <w:tc>
          <w:tcPr>
            <w:tcW w:type="dxa" w:w="2880"/>
          </w:tcPr>
          <w:p>
            <w:r>
              <w:t>TC20</w:t>
            </w:r>
          </w:p>
        </w:tc>
        <w:tc>
          <w:tcPr>
            <w:tcW w:type="dxa" w:w="2880"/>
          </w:tcPr>
          <w:p>
            <w:r>
              <w:t>Verify APOLLO_NE is NOT called during MHS data usage will be handled</w:t>
            </w:r>
          </w:p>
        </w:tc>
        <w:tc>
          <w:tcPr>
            <w:tcW w:type="dxa" w:w="2880"/>
          </w:tcPr>
          <w:p>
            <w:r>
              <w:t>P3</w:t>
            </w:r>
          </w:p>
        </w:tc>
      </w:tr>
      <w:tr>
        <w:tc>
          <w:tcPr>
            <w:tcW w:type="dxa" w:w="2880"/>
          </w:tcPr>
          <w:p>
            <w:r>
              <w:t>TC21</w:t>
            </w:r>
          </w:p>
        </w:tc>
        <w:tc>
          <w:tcPr>
            <w:tcW w:type="dxa" w:w="2880"/>
          </w:tcPr>
          <w:p>
            <w:r>
              <w:t>Verify NSL DB state is consistent after successful MHS data usage will be handled</w:t>
            </w:r>
          </w:p>
        </w:tc>
        <w:tc>
          <w:tcPr>
            <w:tcW w:type="dxa" w:w="2880"/>
          </w:tcPr>
          <w:p>
            <w:r>
              <w:t>P3</w:t>
            </w:r>
          </w:p>
        </w:tc>
      </w:tr>
      <w:tr>
        <w:tc>
          <w:tcPr>
            <w:tcW w:type="dxa" w:w="2880"/>
          </w:tcPr>
          <w:p>
            <w:r>
              <w:t>TC22</w:t>
            </w:r>
          </w:p>
        </w:tc>
        <w:tc>
          <w:tcPr>
            <w:tcW w:type="dxa" w:w="2880"/>
          </w:tcPr>
          <w:p>
            <w:r>
              <w:t>Verify MHS data usage will be handled API response payload contains all required fields</w:t>
            </w:r>
          </w:p>
        </w:tc>
        <w:tc>
          <w:tcPr>
            <w:tcW w:type="dxa" w:w="2880"/>
          </w:tcPr>
          <w:p>
            <w:r>
              <w:t>P3</w:t>
            </w:r>
          </w:p>
        </w:tc>
      </w:tr>
      <w:tr>
        <w:tc>
          <w:tcPr>
            <w:tcW w:type="dxa" w:w="2880"/>
          </w:tcPr>
          <w:p>
            <w:r>
              <w:t>TC23</w:t>
            </w:r>
          </w:p>
        </w:tc>
        <w:tc>
          <w:tcPr>
            <w:tcW w:type="dxa" w:w="2880"/>
          </w:tcPr>
          <w:p>
            <w:r>
              <w:t>Verify Century Report logs all MHS data usage will be handled backend calls correctly</w:t>
            </w:r>
          </w:p>
        </w:tc>
        <w:tc>
          <w:tcPr>
            <w:tcW w:type="dxa" w:w="2880"/>
          </w:tcPr>
          <w:p>
            <w:r>
              <w:t>P3</w:t>
            </w:r>
          </w:p>
        </w:tc>
      </w:tr>
      <w:tr>
        <w:tc>
          <w:tcPr>
            <w:tcW w:type="dxa" w:w="2880"/>
          </w:tcPr>
          <w:p>
            <w:r>
              <w:t>TC24</w:t>
            </w:r>
          </w:p>
        </w:tc>
        <w:tc>
          <w:tcPr>
            <w:tcW w:type="dxa" w:w="2880"/>
          </w:tcPr>
          <w:p>
            <w:r>
              <w:t>Verify NBOP MIG tables reflect correct state after MHS data usage will be handled</w:t>
            </w:r>
          </w:p>
        </w:tc>
        <w:tc>
          <w:tcPr>
            <w:tcW w:type="dxa" w:w="2880"/>
          </w:tcPr>
          <w:p>
            <w:r>
              <w:t>P3</w:t>
            </w:r>
          </w:p>
        </w:tc>
      </w:tr>
      <w:tr>
        <w:tc>
          <w:tcPr>
            <w:tcW w:type="dxa" w:w="2880"/>
          </w:tcPr>
          <w:p>
            <w:r>
              <w:t>TC25</w:t>
            </w:r>
          </w:p>
        </w:tc>
        <w:tc>
          <w:tcPr>
            <w:tcW w:type="dxa" w:w="2880"/>
          </w:tcPr>
          <w:p>
            <w:r>
              <w:t>Validate : In NBOP, Source System is showing as TMO and Target System is showing as MBO for First Event within DPFO noti</w:t>
            </w:r>
          </w:p>
        </w:tc>
        <w:tc>
          <w:tcPr>
            <w:tcW w:type="dxa" w:w="2880"/>
          </w:tcPr>
          <w:p>
            <w:r>
              <w:t>P3</w:t>
            </w:r>
          </w:p>
        </w:tc>
      </w:tr>
      <w:tr>
        <w:tc>
          <w:tcPr>
            <w:tcW w:type="dxa" w:w="2880"/>
          </w:tcPr>
          <w:p>
            <w:r>
              <w:t>TC26</w:t>
            </w:r>
          </w:p>
        </w:tc>
        <w:tc>
          <w:tcPr>
            <w:tcW w:type="dxa" w:w="2880"/>
          </w:tcPr>
          <w:p>
            <w:r>
              <w:t>Validate the buckets fro MHS have been changed Updated to ensure the data from regular bucket is not consumed</w:t>
            </w:r>
          </w:p>
        </w:tc>
        <w:tc>
          <w:tcPr>
            <w:tcW w:type="dxa" w:w="2880"/>
          </w:tcPr>
          <w:p>
            <w:r>
              <w:t>P3</w:t>
            </w:r>
          </w:p>
        </w:tc>
      </w:tr>
      <w:tr>
        <w:tc>
          <w:tcPr>
            <w:tcW w:type="dxa" w:w="2880"/>
          </w:tcPr>
          <w:p>
            <w:r>
              <w:t>TC27</w:t>
            </w:r>
          </w:p>
        </w:tc>
        <w:tc>
          <w:tcPr>
            <w:tcW w:type="dxa" w:w="2880"/>
          </w:tcPr>
          <w:p>
            <w:r>
              <w:t>UI Verify: Validate Change Device result in NBOP portal</w:t>
            </w:r>
          </w:p>
        </w:tc>
        <w:tc>
          <w:tcPr>
            <w:tcW w:type="dxa" w:w="2880"/>
          </w:tcPr>
          <w:p>
            <w:r>
              <w:t>P3</w:t>
            </w:r>
          </w:p>
        </w:tc>
      </w:tr>
      <w:tr>
        <w:tc>
          <w:tcPr>
            <w:tcW w:type="dxa" w:w="2880"/>
          </w:tcPr>
          <w:p>
            <w:r>
              <w:t>TC28</w:t>
            </w:r>
          </w:p>
        </w:tc>
        <w:tc>
          <w:tcPr>
            <w:tcW w:type="dxa" w:w="2880"/>
          </w:tcPr>
          <w:p>
            <w:r>
              <w:t>UI Verify: Validate Reconnect result in NBOP portal</w:t>
            </w:r>
          </w:p>
        </w:tc>
        <w:tc>
          <w:tcPr>
            <w:tcW w:type="dxa" w:w="2880"/>
          </w:tcPr>
          <w:p>
            <w:r>
              <w:t>P3</w:t>
            </w:r>
          </w:p>
        </w:tc>
      </w:tr>
    </w:tbl>
    <w:p>
      <w:pPr>
        <w:pStyle w:val="Heading2"/>
      </w:pPr>
      <w:r>
        <w:t>Negative</w:t>
      </w:r>
    </w:p>
    <w:tbl>
      <w:tblPr>
        <w:tblStyle w:val="LightGrid-Accent1"/>
        <w:tblW w:type="auto" w:w="0"/>
        <w:jc w:val="left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  <w:t>TC#</w:t>
            </w:r>
          </w:p>
        </w:tc>
        <w:tc>
          <w:tcPr>
            <w:tcW w:type="dxa" w:w="2880"/>
          </w:tcPr>
          <w:p>
            <w:r>
              <w:rPr>
                <w:b/>
              </w:rPr>
              <w:t>Scenario</w:t>
            </w:r>
          </w:p>
        </w:tc>
        <w:tc>
          <w:tcPr>
            <w:tcW w:type="dxa" w:w="2880"/>
          </w:tcPr>
          <w:p>
            <w:r>
              <w:rPr>
                <w:b/>
              </w:rPr>
              <w:t>Priority</w:t>
            </w:r>
          </w:p>
        </w:tc>
      </w:tr>
      <w:tr>
        <w:tc>
          <w:tcPr>
            <w:tcW w:type="dxa" w:w="2880"/>
          </w:tcPr>
          <w:p>
            <w:r>
              <w:t>TC03</w:t>
            </w:r>
          </w:p>
        </w:tc>
        <w:tc>
          <w:tcPr>
            <w:tcW w:type="dxa" w:w="2880"/>
          </w:tcPr>
          <w:p>
            <w:r>
              <w:t>Negative: Validate MHS data usage will be handled handles upstream timeout gracefully</w:t>
            </w:r>
          </w:p>
        </w:tc>
        <w:tc>
          <w:tcPr>
            <w:tcW w:type="dxa" w:w="2880"/>
          </w:tcPr>
          <w:p>
            <w:r>
              <w:t>P1</w:t>
            </w:r>
          </w:p>
        </w:tc>
      </w:tr>
      <w:tr>
        <w:tc>
          <w:tcPr>
            <w:tcW w:type="dxa" w:w="2880"/>
          </w:tcPr>
          <w:p>
            <w:r>
              <w:t>TC07</w:t>
            </w:r>
          </w:p>
        </w:tc>
        <w:tc>
          <w:tcPr>
            <w:tcW w:type="dxa" w:w="2880"/>
          </w:tcPr>
          <w:p>
            <w:r>
              <w:t>Verify that NC_DODR_TETHA is NOT returned by system catalog eligibility rule when rate plan is not CMUNL or CMUNLP ( i,e</w:t>
            </w:r>
          </w:p>
        </w:tc>
        <w:tc>
          <w:tcPr>
            <w:tcW w:type="dxa" w:w="2880"/>
          </w:tcPr>
          <w:p>
            <w:r>
              <w:t>P2</w:t>
            </w:r>
          </w:p>
        </w:tc>
      </w:tr>
      <w:tr>
        <w:tc>
          <w:tcPr>
            <w:tcW w:type="dxa" w:w="2880"/>
          </w:tcPr>
          <w:p>
            <w:r>
              <w:t>TC08</w:t>
            </w:r>
          </w:p>
        </w:tc>
        <w:tc>
          <w:tcPr>
            <w:tcW w:type="dxa" w:w="2880"/>
          </w:tcPr>
          <w:p>
            <w:r>
              <w:t>Verify that deactivation of line with active NC_DODR_TETHA feature correctly updates Mediation subscriber profile</w:t>
            </w:r>
          </w:p>
        </w:tc>
        <w:tc>
          <w:tcPr>
            <w:tcW w:type="dxa" w:w="2880"/>
          </w:tcPr>
          <w:p>
            <w:r>
              <w:t>P2</w:t>
            </w:r>
          </w:p>
        </w:tc>
      </w:tr>
      <w:tr>
        <w:tc>
          <w:tcPr>
            <w:tcW w:type="dxa" w:w="2880"/>
          </w:tcPr>
          <w:p>
            <w:r>
              <w:t>TC09</w:t>
            </w:r>
          </w:p>
        </w:tc>
        <w:tc>
          <w:tcPr>
            <w:tcW w:type="dxa" w:w="2880"/>
          </w:tcPr>
          <w:p>
            <w:r>
              <w:t>Negative: Invalid malformed PRR records — graceful handling</w:t>
            </w:r>
          </w:p>
        </w:tc>
        <w:tc>
          <w:tcPr>
            <w:tcW w:type="dxa" w:w="2880"/>
          </w:tcPr>
          <w:p>
            <w:r>
              <w:t>P2</w:t>
            </w:r>
          </w:p>
        </w:tc>
      </w:tr>
      <w:tr>
        <w:tc>
          <w:tcPr>
            <w:tcW w:type="dxa" w:w="2880"/>
          </w:tcPr>
          <w:p>
            <w:r>
              <w:t>TC10</w:t>
            </w:r>
          </w:p>
        </w:tc>
        <w:tc>
          <w:tcPr>
            <w:tcW w:type="dxa" w:w="2880"/>
          </w:tcPr>
          <w:p>
            <w:r>
              <w:t>Negative: Unrecognized country codes — no incorrect mapping</w:t>
            </w:r>
          </w:p>
        </w:tc>
        <w:tc>
          <w:tcPr>
            <w:tcW w:type="dxa" w:w="2880"/>
          </w:tcPr>
          <w:p>
            <w:r>
              <w:t>P2</w:t>
            </w:r>
          </w:p>
        </w:tc>
      </w:tr>
      <w:tr>
        <w:tc>
          <w:tcPr>
            <w:tcW w:type="dxa" w:w="2880"/>
          </w:tcPr>
          <w:p>
            <w:r>
              <w:t>TC11</w:t>
            </w:r>
          </w:p>
        </w:tc>
        <w:tc>
          <w:tcPr>
            <w:tcW w:type="dxa" w:w="2880"/>
          </w:tcPr>
          <w:p>
            <w:r>
              <w:t>Negative: Empty input data — no crash</w:t>
            </w:r>
          </w:p>
        </w:tc>
        <w:tc>
          <w:tcPr>
            <w:tcW w:type="dxa" w:w="2880"/>
          </w:tcPr>
          <w:p>
            <w:r>
              <w:t>P2</w:t>
            </w:r>
          </w:p>
        </w:tc>
      </w:tr>
      <w:tr>
        <w:tc>
          <w:tcPr>
            <w:tcW w:type="dxa" w:w="2880"/>
          </w:tcPr>
          <w:p>
            <w:r>
              <w:t>TC12</w:t>
            </w:r>
          </w:p>
        </w:tc>
        <w:tc>
          <w:tcPr>
            <w:tcW w:type="dxa" w:w="2880"/>
          </w:tcPr>
          <w:p>
            <w:r>
              <w:t>- Negative: Verify handling of invalid null input fields</w:t>
            </w:r>
          </w:p>
        </w:tc>
        <w:tc>
          <w:tcPr>
            <w:tcW w:type="dxa" w:w="2880"/>
          </w:tcPr>
          <w:p>
            <w:r>
              <w:t>P2</w:t>
            </w:r>
          </w:p>
        </w:tc>
      </w:tr>
      <w:tr>
        <w:tc>
          <w:tcPr>
            <w:tcW w:type="dxa" w:w="2880"/>
          </w:tcPr>
          <w:p>
            <w:r>
              <w:t>TC13</w:t>
            </w:r>
          </w:p>
        </w:tc>
        <w:tc>
          <w:tcPr>
            <w:tcW w:type="dxa" w:w="2880"/>
          </w:tcPr>
          <w:p>
            <w:r>
              <w:t>- Negative: Verify API with invalid expired authentication</w:t>
            </w:r>
          </w:p>
        </w:tc>
        <w:tc>
          <w:tcPr>
            <w:tcW w:type="dxa" w:w="2880"/>
          </w:tcPr>
          <w:p>
            <w:r>
              <w:t>P2</w:t>
            </w:r>
          </w:p>
        </w:tc>
      </w:tr>
      <w:tr>
        <w:tc>
          <w:tcPr>
            <w:tcW w:type="dxa" w:w="2880"/>
          </w:tcPr>
          <w:p>
            <w:r>
              <w:t>TC14</w:t>
            </w:r>
          </w:p>
        </w:tc>
        <w:tc>
          <w:tcPr>
            <w:tcW w:type="dxa" w:w="2880"/>
          </w:tcPr>
          <w:p>
            <w:r>
              <w:t>Negative: Validate MHS data usage will be handled rejected for Hotlined MDN</w:t>
            </w:r>
          </w:p>
        </w:tc>
        <w:tc>
          <w:tcPr>
            <w:tcW w:type="dxa" w:w="2880"/>
          </w:tcPr>
          <w:p>
            <w:r>
              <w:t>P2</w:t>
            </w:r>
          </w:p>
        </w:tc>
      </w:tr>
      <w:tr>
        <w:tc>
          <w:tcPr>
            <w:tcW w:type="dxa" w:w="2880"/>
          </w:tcPr>
          <w:p>
            <w:r>
              <w:t>TC15</w:t>
            </w:r>
          </w:p>
        </w:tc>
        <w:tc>
          <w:tcPr>
            <w:tcW w:type="dxa" w:w="2880"/>
          </w:tcPr>
          <w:p>
            <w:r>
              <w:t>Negative: Validate MHS data usage will be handled rejected with invalid LineId</w:t>
            </w:r>
          </w:p>
        </w:tc>
        <w:tc>
          <w:tcPr>
            <w:tcW w:type="dxa" w:w="2880"/>
          </w:tcPr>
          <w:p>
            <w:r>
              <w:t>P2</w:t>
            </w:r>
          </w:p>
        </w:tc>
      </w:tr>
      <w:tr>
        <w:tc>
          <w:tcPr>
            <w:tcW w:type="dxa" w:w="2880"/>
          </w:tcPr>
          <w:p>
            <w:r>
              <w:t>TC16</w:t>
            </w:r>
          </w:p>
        </w:tc>
        <w:tc>
          <w:tcPr>
            <w:tcW w:type="dxa" w:w="2880"/>
          </w:tcPr>
          <w:p>
            <w:r>
              <w:t>Negative: Validate MHS data usage will be handled rejected with invalid AccountId</w:t>
            </w:r>
          </w:p>
        </w:tc>
        <w:tc>
          <w:tcPr>
            <w:tcW w:type="dxa" w:w="2880"/>
          </w:tcPr>
          <w:p>
            <w:r>
              <w:t>P2</w:t>
            </w:r>
          </w:p>
        </w:tc>
      </w:tr>
      <w:tr>
        <w:tc>
          <w:tcPr>
            <w:tcW w:type="dxa" w:w="2880"/>
          </w:tcPr>
          <w:p>
            <w:r>
              <w:t>TC17</w:t>
            </w:r>
          </w:p>
        </w:tc>
        <w:tc>
          <w:tcPr>
            <w:tcW w:type="dxa" w:w="2880"/>
          </w:tcPr>
          <w:p>
            <w:r>
              <w:t>Negative: Validate MHS data usage will be handled rejected with invalid MDN format</w:t>
            </w:r>
          </w:p>
        </w:tc>
        <w:tc>
          <w:tcPr>
            <w:tcW w:type="dxa" w:w="2880"/>
          </w:tcPr>
          <w:p>
            <w:r>
              <w:t>P2</w:t>
            </w:r>
          </w:p>
        </w:tc>
      </w:tr>
    </w:tbl>
    <w:p>
      <w:pPr>
        <w:pStyle w:val="Heading2"/>
      </w:pPr>
      <w:r>
        <w:t>Edge Case</w:t>
      </w:r>
    </w:p>
    <w:tbl>
      <w:tblPr>
        <w:tblStyle w:val="LightGrid-Accent1"/>
        <w:tblW w:type="auto" w:w="0"/>
        <w:jc w:val="left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  <w:t>TC#</w:t>
            </w:r>
          </w:p>
        </w:tc>
        <w:tc>
          <w:tcPr>
            <w:tcW w:type="dxa" w:w="2880"/>
          </w:tcPr>
          <w:p>
            <w:r>
              <w:rPr>
                <w:b/>
              </w:rPr>
              <w:t>Scenario</w:t>
            </w:r>
          </w:p>
        </w:tc>
        <w:tc>
          <w:tcPr>
            <w:tcW w:type="dxa" w:w="2880"/>
          </w:tcPr>
          <w:p>
            <w:r>
              <w:rPr>
                <w:b/>
              </w:rPr>
              <w:t>Priority</w:t>
            </w:r>
          </w:p>
        </w:tc>
      </w:tr>
      <w:tr>
        <w:tc>
          <w:tcPr>
            <w:tcW w:type="dxa" w:w="2880"/>
          </w:tcPr>
          <w:p>
            <w:r>
              <w:t>TC29</w:t>
            </w:r>
          </w:p>
        </w:tc>
        <w:tc>
          <w:tcPr>
            <w:tcW w:type="dxa" w:w="2880"/>
          </w:tcPr>
          <w:p>
            <w:r>
              <w:t>Verify MHS and primary data bucket behavior when both buckets reach 100% simultaneously for an line</w:t>
            </w:r>
          </w:p>
        </w:tc>
        <w:tc>
          <w:tcPr>
            <w:tcW w:type="dxa" w:w="2880"/>
          </w:tcPr>
          <w:p>
            <w:r>
              <w:t>P3</w:t>
            </w:r>
          </w:p>
        </w:tc>
      </w:tr>
      <w:tr>
        <w:tc>
          <w:tcPr>
            <w:tcW w:type="dxa" w:w="2880"/>
          </w:tcPr>
          <w:p>
            <w:r>
              <w:t>TC30</w:t>
            </w:r>
          </w:p>
        </w:tc>
        <w:tc>
          <w:tcPr>
            <w:tcW w:type="dxa" w:w="2880"/>
          </w:tcPr>
          <w:p>
            <w:r>
              <w:t>Verify MHS data bucket behavior during bill cycle reset for an line</w:t>
            </w:r>
          </w:p>
        </w:tc>
        <w:tc>
          <w:tcPr>
            <w:tcW w:type="dxa" w:w="2880"/>
          </w:tcPr>
          <w:p>
            <w:r>
              <w:t>P3</w:t>
            </w:r>
          </w:p>
        </w:tc>
      </w:tr>
      <w:tr>
        <w:tc>
          <w:tcPr>
            <w:tcW w:type="dxa" w:w="2880"/>
          </w:tcPr>
          <w:p>
            <w:r>
              <w:t>TC31</w:t>
            </w:r>
          </w:p>
        </w:tc>
        <w:tc>
          <w:tcPr>
            <w:tcW w:type="dxa" w:w="2880"/>
          </w:tcPr>
          <w:p>
            <w:r>
              <w:t>Verify MHS bucket behavior when subscriber changes rate plan from CMUNL to CMUNLP mid-cycle</w:t>
            </w:r>
          </w:p>
        </w:tc>
        <w:tc>
          <w:tcPr>
            <w:tcW w:type="dxa" w:w="2880"/>
          </w:tcPr>
          <w:p>
            <w:r>
              <w:t>P3</w:t>
            </w:r>
          </w:p>
        </w:tc>
      </w:tr>
      <w:tr>
        <w:tc>
          <w:tcPr>
            <w:tcW w:type="dxa" w:w="2880"/>
          </w:tcPr>
          <w:p>
            <w:r>
              <w:t>TC32</w:t>
            </w:r>
          </w:p>
        </w:tc>
        <w:tc>
          <w:tcPr>
            <w:tcW w:type="dxa" w:w="2880"/>
          </w:tcPr>
          <w:p>
            <w:r>
              <w:t>Verify MHS bucket behavior when subscriber downgrades from CMUNLP to CMUNL mid-cycle with MHS usage exceeding new limit</w:t>
            </w:r>
          </w:p>
        </w:tc>
        <w:tc>
          <w:tcPr>
            <w:tcW w:type="dxa" w:w="2880"/>
          </w:tcPr>
          <w:p>
            <w:r>
              <w:t>P3</w:t>
            </w:r>
          </w:p>
        </w:tc>
      </w:tr>
      <w:tr>
        <w:tc>
          <w:tcPr>
            <w:tcW w:type="dxa" w:w="2880"/>
          </w:tcPr>
          <w:p>
            <w:r>
              <w:t>TC33</w:t>
            </w:r>
          </w:p>
        </w:tc>
        <w:tc>
          <w:tcPr>
            <w:tcW w:type="dxa" w:w="2880"/>
          </w:tcPr>
          <w:p>
            <w:r>
              <w:t>Verify that NC_DODR_TETHA feature is NOT applied to international roaming MHS usage — domestic only</w:t>
            </w:r>
          </w:p>
        </w:tc>
        <w:tc>
          <w:tcPr>
            <w:tcW w:type="dxa" w:w="2880"/>
          </w:tcPr>
          <w:p>
            <w:r>
              <w:t>P3</w:t>
            </w:r>
          </w:p>
        </w:tc>
      </w:tr>
      <w:tr>
        <w:tc>
          <w:tcPr>
            <w:tcW w:type="dxa" w:w="2880"/>
          </w:tcPr>
          <w:p>
            <w:r>
              <w:t>TC34</w:t>
            </w:r>
          </w:p>
        </w:tc>
        <w:tc>
          <w:tcPr>
            <w:tcW w:type="dxa" w:w="2880"/>
          </w:tcPr>
          <w:p>
            <w:r>
              <w:t>Verify MHS bucket behavior for reconnect-within-bill-cycle scenario</w:t>
            </w:r>
          </w:p>
        </w:tc>
        <w:tc>
          <w:tcPr>
            <w:tcW w:type="dxa" w:w="2880"/>
          </w:tcPr>
          <w:p>
            <w:r>
              <w:t>P3</w:t>
            </w:r>
          </w:p>
        </w:tc>
      </w:tr>
      <w:tr>
        <w:tc>
          <w:tcPr>
            <w:tcW w:type="dxa" w:w="2880"/>
          </w:tcPr>
          <w:p>
            <w:r>
              <w:t>TC35</w:t>
            </w:r>
          </w:p>
        </w:tc>
        <w:tc>
          <w:tcPr>
            <w:tcW w:type="dxa" w:w="2880"/>
          </w:tcPr>
          <w:p>
            <w:r>
              <w:t>Verify MHS bucket behavior during Change MDN operation for line</w:t>
            </w:r>
          </w:p>
        </w:tc>
        <w:tc>
          <w:tcPr>
            <w:tcW w:type="dxa" w:w="2880"/>
          </w:tcPr>
          <w:p>
            <w:r>
              <w:t>P3</w:t>
            </w:r>
          </w:p>
        </w:tc>
      </w:tr>
      <w:tr>
        <w:tc>
          <w:tcPr>
            <w:tcW w:type="dxa" w:w="2880"/>
          </w:tcPr>
          <w:p>
            <w:r>
              <w:t>TC36</w:t>
            </w:r>
          </w:p>
        </w:tc>
        <w:tc>
          <w:tcPr>
            <w:tcW w:type="dxa" w:w="2880"/>
          </w:tcPr>
          <w:p>
            <w:r>
              <w:t>Verify MHS bucket behavior when Mediation receives PRR records across 4G and 5G record types with HOTSPOT category</w:t>
            </w:r>
          </w:p>
        </w:tc>
        <w:tc>
          <w:tcPr>
            <w:tcW w:type="dxa" w:w="2880"/>
          </w:tcPr>
          <w:p>
            <w:r>
              <w:t>P3</w:t>
            </w:r>
          </w:p>
        </w:tc>
      </w:tr>
      <w:tr>
        <w:tc>
          <w:tcPr>
            <w:tcW w:type="dxa" w:w="2880"/>
          </w:tcPr>
          <w:p>
            <w:r>
              <w:t>TC37</w:t>
            </w:r>
          </w:p>
        </w:tc>
        <w:tc>
          <w:tcPr>
            <w:tcW w:type="dxa" w:w="2880"/>
          </w:tcPr>
          <w:p>
            <w:r>
              <w:t>Verify that Change Device operation preserves NC_DODR_TETHA feature and MHS bucket data</w:t>
            </w:r>
          </w:p>
        </w:tc>
        <w:tc>
          <w:tcPr>
            <w:tcW w:type="dxa" w:w="2880"/>
          </w:tcPr>
          <w:p>
            <w:r>
              <w:t>P3</w:t>
            </w:r>
          </w:p>
        </w:tc>
      </w:tr>
      <w:tr>
        <w:tc>
          <w:tcPr>
            <w:tcW w:type="dxa" w:w="2880"/>
          </w:tcPr>
          <w:p>
            <w:r>
              <w:t>TC38</w:t>
            </w:r>
          </w:p>
        </w:tc>
        <w:tc>
          <w:tcPr>
            <w:tcW w:type="dxa" w:w="2880"/>
          </w:tcPr>
          <w:p>
            <w:r>
              <w:t>Regression: Verify Line Inquiry and Service Grouping unaffected by MHS data usage will be</w:t>
            </w:r>
          </w:p>
        </w:tc>
        <w:tc>
          <w:tcPr>
            <w:tcW w:type="dxa" w:w="2880"/>
          </w:tcPr>
          <w:p>
            <w:r>
              <w:t>P3</w:t>
            </w:r>
          </w:p>
        </w:tc>
      </w:tr>
    </w:tbl>
    <w:p>
      <w:pPr>
        <w:pStyle w:val="Heading1"/>
      </w:pPr>
      <w:r>
        <w:t>7. Data Sources</w:t>
      </w:r>
    </w:p>
    <w:p>
      <w:pPr>
        <w:pStyle w:val="ListBullet"/>
      </w:pPr>
      <w:r>
        <w:t>Jira: MWTGPROV-4059 (Description, AC, Labels, Links)</w:t>
      </w:r>
    </w:p>
    <w:p>
      <w:pPr>
        <w:pStyle w:val="ListBullet"/>
      </w:pPr>
      <w:r>
        <w:t>Jira Subtasks: 2 subtasks scanned</w:t>
      </w:r>
    </w:p>
    <w:p>
      <w:pPr>
        <w:pStyle w:val="ListBullet"/>
      </w:pPr>
      <w:r>
        <w:t>Jira Links: MOBIT2-58472</w:t>
      </w:r>
    </w:p>
    <w:p>
      <w:pPr>
        <w:pStyle w:val="ListBullet"/>
      </w:pPr>
      <w:r>
        <w:t>Chalk: MWTGPROV-4059 section (19 scenarios)</w:t>
      </w:r>
    </w:p>
    <w:p>
      <w:pPr>
        <w:pStyle w:val="Heading1"/>
      </w:pPr>
      <w:r>
        <w:t>8. Linked Issues</w:t>
      </w:r>
    </w:p>
    <w:p>
      <w:pPr>
        <w:pStyle w:val="ListBullet"/>
      </w:pPr>
      <w:r>
        <w:t>MOBIT2-58472 — CR - Separate domestic Mobile hotspot data usage from primary data usage for TMO</w:t>
      </w:r>
    </w:p>
    <w:p>
      <w:pPr>
        <w:pStyle w:val="Heading1"/>
      </w:pPr>
      <w:r>
        <w:t>9. Warnings &amp; Open Items</w:t>
      </w:r>
    </w:p>
    <w:p>
      <w:pPr>
        <w:pStyle w:val="ListBullet"/>
      </w:pPr>
      <w:r>
        <w:t>[Jira] No acceptance criteria found — traceability will be limited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