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For the TMO flow type, the response sent back should remain same as to what is currently defined for VZW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_UAT_PROGRESSION_52.2: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