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Retrigger Transaction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Retrigger Transaction feature for TMO MVNO provisioning. 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3. Scope &amp; Business Rules</w:t>
      </w:r>
    </w:p>
    <w:p>
      <w:r>
        <w:t>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Retrigger Transaction NBOP displays 202 status code for valid TMO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scheduler successfully runs every 4 hours and retrieves pending async transactions to trigger the retrigger trans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API successfully retriggers Phone Tablet Wearbles product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IT-MBO successfully consumes Retrigger API with valid OAuth token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 workflow integration after consuming retrigger API for Phone Tablet wearable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Retrigger Transaction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Retrigger Transaction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Mediation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Amdocs SFTP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Retrigger Transaction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Problem Description:* Retrigger Transaction — AsyncService call received from NE when Async PODs UP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Retrigger Transaction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Retrigger Transaction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Retrigger Transaction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Retrigger Transaction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MWTGPROV-4113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