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MNO_TMO permission is ON and line 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user can successfully add optional features to TMO line using the same process as VZW subscribers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Inbound (IN)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Update Port-in NBOP_TMO functionalities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NBOP_TMO functionalities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Problem Description: In Transaction History MNO attribute value is wrongly displayed as Verizon instead of TMO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activation history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NPANXX removal from activation flow does not affect VZW activation process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Mediation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Amdocs SFTP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Line Information section updates after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NBOP_TMO functionalities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PROGRESSION-TMO-Issue observed in Change 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PROGRESSION — 52.2 -NBOP Functionalities -MNO Attribute value is wrongly displayed as verizon instead of T-Mobi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_TEST_UAT_52.x_MWTGPROV-4136 — PI52 —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 xml:space="preserve">Verify appropriate error message is displayed when attempting to add a feature that conflicts with existing features on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NBOP_TMO functionalities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NBOP_TMO functionalities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NBOP_TMO functionalities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Edge Case: Validate NBOP_TMO functionalities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