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14:59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P2=4  </w:t>
      </w:r>
      <w:r>
        <w:t xml:space="preserve">P3=20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Step 3: Validate line-summary reflects the new SIM ICCID.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Step 3: Validate line-summary reflects the new IMEI.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3: Validate line-summary reflects the new BCD.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Step 3: Validate line-summary shows status = SUSPEND.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Step 4: Validate line-summary reflects the new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Step 4: Validate line-summary reflects the ported-in MDN.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Step 3: Validate line-summary reflects swapped MDNs.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Step 3: Validate line-summary shows status = ACTIVE.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Step 3: Validate line-summary reflects the updated feature.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3: Validate the URL contains the existing VZW company ID: 03930, NOT 14619.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Step 4: Validate line-summary reflects all changes.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VZW Manage Subscriber Suspend triggers Syniverse Deregister with VZW company ID.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Integration with Syniverse (all mvp PRR file processing through mediation pipe.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Integration with Syniverse (all mvp derivation rules applied correctly to PRR.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Integration with Syniverse (all mvp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Integration with Syniverse (all mvp notification payload matches expected sche.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Integration with Syniverse (all mvp handles invalid malformed PRR records grac.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Integration with Syniverse (all mvp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Integration with Syniverse (all mvp notification suppression rules.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8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