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18:31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215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P2=7  </w:t>
      </w:r>
      <w:r>
        <w:t xml:space="preserve">P3=25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Validate line-summary reflects the new IMEI. (Manage Device (IMEI) completes successfully. Syniverse Chan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3: Validate line-summary reflects the new BCD. (Change BCD completes successfully. Syniverse Update Subscrib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Device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Integration with Syniverse (all mvp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Validate line-summary reflects the new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Step 4: Validate line-summary reflects the ported-in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Step 3: Validate line-summary reflects swapped MDNs. (Swap MDN (ESIM-EM) completes successfully. Syniverse Change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line-summary shows status = ACTIVE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Step 3: Validate line-summary reflects the updated feature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 TMO company ID 14619 is NOT 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As NSL, it should ensure to update Syniverse system with any changes being made to TMO subscribers same as it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cancel reversal of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