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2026-04-21 12:31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212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SIM ICCID. (Manage Device (SIM) completes successfully. Syniverse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Validate line-summary reflects the new IMEI. (Manage Device (IMEI) completes successfully. Syniverse Chan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Change Device Integration with Syniverse (all mvp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complete audit trail for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Syniverse is NOT called for Hotline Suspend Restore in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E2E: Validate complete Integration with Syniverse (all mvp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3: Validate line-summary shows status = SUSPEND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Step 3: Validate line-summary shows status = DEACTIVE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rate plan. (Change Rate Plan succeeds for port-in TMO subscriber.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 xml:space="preserve">Verify Step 4: Validate reconciliation job syncs the Syniverse record. (Reconnect Subscriber succeeds despite Syniverse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3: Validate the URL contains the existing VZW company ID: 03930, NOT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 (Remove Hotline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 company ID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 (Primary transaction succeeds 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VZW Manage Subscriber Suspend triggers Syniverse Deregister with VZW company ID. TMO company ID 14619 is NOT 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Problem Description:* We are Observing NULL response from Syniverse for Syniverse Update Subscriber Outbound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As NSL, it should ensure to update Syniverse system with any changes being made to TMO subscribers same as it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Syniverse is NOT called during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Integration with Syniverse (all mvp for transaction type YD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cancel reversal of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Change Bcd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UI Verify: Validate Change Rate 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Syniverse 401 Unauthorized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Syniverse 500 Internal Error — retry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