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Feature Objective &amp; Test Summary</w:t>
      </w:r>
    </w:p>
    <w:p/>
    <w:p>
      <w:pPr>
        <w:pStyle w:val="Heading1"/>
      </w:pPr>
      <w:r>
        <w:t>1. Feature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Feature ID</w:t>
            </w:r>
          </w:p>
        </w:tc>
        <w:tc>
          <w:tcPr>
            <w:tcW w:type="dxa" w:w="4320"/>
          </w:tcPr>
          <w:p>
            <w:r>
              <w:t>MWTGPROV-4155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4320"/>
          </w:tcPr>
          <w:p>
            <w:r>
              <w:t>[NBOP, INTG]: New MVNO - Validate Portin eligibility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PI</w:t>
            </w:r>
          </w:p>
        </w:tc>
        <w:tc>
          <w:tcPr>
            <w:tcW w:type="dxa" w:w="4320"/>
          </w:tcPr>
          <w:p>
            <w:r>
              <w:t>PI-53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4320"/>
          </w:tcPr>
          <w:p>
            <w:r>
              <w:t>Dev Complete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4320"/>
          </w:tcPr>
          <w:p>
            <w:r>
              <w:t>Critical/High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Assignee</w:t>
            </w:r>
          </w:p>
        </w:tc>
        <w:tc>
          <w:tcPr>
            <w:tcW w:type="dxa" w:w="4320"/>
          </w:tcPr>
          <w:p>
            <w:r>
              <w:t>Yerra, Bijay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Channel</w:t>
            </w:r>
          </w:p>
        </w:tc>
        <w:tc>
          <w:tcPr>
            <w:tcW w:type="dxa" w:w="4320"/>
          </w:tcPr>
          <w:p>
            <w:r>
              <w:t>ITMBO, NBOP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Labels</w:t>
            </w:r>
          </w:p>
        </w:tc>
        <w:tc>
          <w:tcPr>
            <w:tcW w:type="dxa" w:w="4320"/>
          </w:tcPr>
          <w:p>
            <w:r>
              <w:t>CHPROJECT-18431, PI-53, TMO_MVP+, bpo</w:t>
            </w:r>
          </w:p>
        </w:tc>
      </w:tr>
      <w:tr>
        <w:tc>
          <w:tcPr>
            <w:tcW w:type="dxa" w:w="4320"/>
          </w:tcPr>
          <w:p>
            <w:r>
              <w:rPr>
                <w:b/>
              </w:rPr>
              <w:t>Generated</w:t>
            </w:r>
          </w:p>
        </w:tc>
        <w:tc>
          <w:tcPr>
            <w:tcW w:type="dxa" w:w="4320"/>
          </w:tcPr>
          <w:p>
            <w:r>
              <w:t>2026-04-14 18:37</w:t>
            </w:r>
          </w:p>
        </w:tc>
      </w:tr>
    </w:tbl>
    <w:p>
      <w:pPr>
        <w:pStyle w:val="Heading1"/>
      </w:pPr>
      <w:r>
        <w:t>2. Objective</w:t>
      </w:r>
    </w:p>
    <w:p>
      <w:r>
        <w:t>Validate the [NBOP, INTG]: New MVNO - Validate Portin eligibility feature for TMO MVNO provisioning. MWTGPROV-4155</w:t>
        <w:br/>
      </w:r>
    </w:p>
    <w:p>
      <w:pPr>
        <w:pStyle w:val="Heading1"/>
      </w:pPr>
      <w:r>
        <w:t>3. Scope &amp; Business Rules</w:t>
      </w:r>
    </w:p>
    <w:p>
      <w:r>
        <w:t>MWTGPROV-4155</w:t>
        <w:br/>
      </w:r>
    </w:p>
    <w:p>
      <w:pPr>
        <w:pStyle w:val="Heading1"/>
      </w:pPr>
      <w:r>
        <w:t>4. Acceptance Criteria</w:t>
      </w:r>
    </w:p>
    <w:p>
      <w:pPr>
        <w:pStyle w:val="ListNumber"/>
      </w:pPr>
      <w:r>
        <w:t>1. Test strategy document is available.</w:t>
      </w:r>
    </w:p>
    <w:p>
      <w:pPr>
        <w:pStyle w:val="ListNumber"/>
      </w:pPr>
      <w:r>
        <w:t>2. KPIs and SLAs should be BAU.</w:t>
      </w:r>
    </w:p>
    <w:p>
      <w:pPr>
        <w:pStyle w:val="ListNumber"/>
      </w:pPr>
      <w:r>
        <w:t>3. Updated HLD.</w:t>
      </w:r>
    </w:p>
    <w:p>
      <w:pPr>
        <w:pStyle w:val="Heading1"/>
      </w:pPr>
      <w:r>
        <w:t>5. Test Coverage Summary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Total Test Cases</w:t>
            </w:r>
          </w:p>
        </w:tc>
        <w:tc>
          <w:tcPr>
            <w:tcW w:type="dxa" w:w="4320"/>
          </w:tcPr>
          <w:p>
            <w:r>
              <w:t>18</w:t>
            </w:r>
          </w:p>
        </w:tc>
      </w:tr>
      <w:tr>
        <w:tc>
          <w:tcPr>
            <w:tcW w:type="dxa" w:w="4320"/>
          </w:tcPr>
          <w:p>
            <w:r>
              <w:t>Total Test Steps</w:t>
            </w:r>
          </w:p>
        </w:tc>
        <w:tc>
          <w:tcPr>
            <w:tcW w:type="dxa" w:w="4320"/>
          </w:tcPr>
          <w:p>
            <w:r>
              <w:t>81</w:t>
            </w:r>
          </w:p>
        </w:tc>
      </w:tr>
      <w:tr>
        <w:tc>
          <w:tcPr>
            <w:tcW w:type="dxa" w:w="4320"/>
          </w:tcPr>
          <w:p>
            <w:r>
              <w:t>Happy Path Scenarios</w:t>
            </w:r>
          </w:p>
        </w:tc>
        <w:tc>
          <w:tcPr>
            <w:tcW w:type="dxa" w:w="4320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Negative Scenarios</w:t>
            </w:r>
          </w:p>
        </w:tc>
        <w:tc>
          <w:tcPr>
            <w:tcW w:type="dxa" w:w="4320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Edge Case Scenarios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</w:tbl>
    <w:p/>
    <w:p>
      <w:r>
        <w:rPr>
          <w:b/>
        </w:rPr>
        <w:t xml:space="preserve">Priority Distribution: </w:t>
      </w:r>
      <w:r>
        <w:t xml:space="preserve">P1=4  </w:t>
      </w:r>
      <w:r>
        <w:t xml:space="preserve">P2=10  </w:t>
      </w:r>
      <w:r>
        <w:t xml:space="preserve">P3=4  </w:t>
      </w:r>
    </w:p>
    <w:p>
      <w:pPr>
        <w:pStyle w:val="Heading1"/>
      </w:pPr>
      <w:r>
        <w:t>6. Test Scenarios</w:t>
      </w:r>
    </w:p>
    <w:p>
      <w:pPr>
        <w:pStyle w:val="Heading2"/>
      </w:pPr>
      <w:r>
        <w:t>Happy Path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TC01</w:t>
            </w:r>
          </w:p>
        </w:tc>
        <w:tc>
          <w:tcPr>
            <w:tcW w:type="dxa" w:w="2880"/>
          </w:tcPr>
          <w:p>
            <w:r>
              <w:t>Validate to implement the Validate Port-in Eligibility screen.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TC02</w:t>
            </w:r>
          </w:p>
        </w:tc>
        <w:tc>
          <w:tcPr>
            <w:tcW w:type="dxa" w:w="2880"/>
          </w:tcPr>
          <w:p>
            <w:r>
              <w:t>Validate Mobile service Management Validate Portin Eligibility.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TC05</w:t>
            </w:r>
          </w:p>
        </w:tc>
        <w:tc>
          <w:tcPr>
            <w:tcW w:type="dxa" w:w="2880"/>
          </w:tcPr>
          <w:p>
            <w:r>
              <w:t>Verify Transaction History records Validate Portin eligibility with correct details.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TC06</w:t>
            </w:r>
          </w:p>
        </w:tc>
        <w:tc>
          <w:tcPr>
            <w:tcW w:type="dxa" w:w="2880"/>
          </w:tcPr>
          <w:p>
            <w:r>
              <w:t>E2E: Validate complete Validate Portin eligibility flow from trigger to final verification.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TC15</w:t>
            </w:r>
          </w:p>
        </w:tc>
        <w:tc>
          <w:tcPr>
            <w:tcW w:type="dxa" w:w="2880"/>
          </w:tcPr>
          <w:p>
            <w:r>
              <w:t>Verify Portin eligibility API response payload contains all required fields.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TC16</w:t>
            </w:r>
          </w:p>
        </w:tc>
        <w:tc>
          <w:tcPr>
            <w:tcW w:type="dxa" w:w="2880"/>
          </w:tcPr>
          <w:p>
            <w:r>
              <w:t>Verify Century Report logs all Validate Portin eligibility backend calls correctly.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  <w:tr>
        <w:tc>
          <w:tcPr>
            <w:tcW w:type="dxa" w:w="2880"/>
          </w:tcPr>
          <w:p>
            <w:r>
              <w:t>TC17</w:t>
            </w:r>
          </w:p>
        </w:tc>
        <w:tc>
          <w:tcPr>
            <w:tcW w:type="dxa" w:w="2880"/>
          </w:tcPr>
          <w:p>
            <w:r>
              <w:t>Verify NBOP MIG tables reflect correct state after Validate Portin eligibility.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2"/>
      </w:pPr>
      <w:r>
        <w:t>Negative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TC03</w:t>
            </w:r>
          </w:p>
        </w:tc>
        <w:tc>
          <w:tcPr>
            <w:tcW w:type="dxa" w:w="2880"/>
          </w:tcPr>
          <w:p>
            <w:r>
              <w:t>- Negative: Verify API with invalid expired authentication.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TC04</w:t>
            </w:r>
          </w:p>
        </w:tc>
        <w:tc>
          <w:tcPr>
            <w:tcW w:type="dxa" w:w="2880"/>
          </w:tcPr>
          <w:p>
            <w:r>
              <w:t>Negative: Validate Portin eligibility handles upstream timeout gracefully.</w:t>
            </w:r>
          </w:p>
        </w:tc>
        <w:tc>
          <w:tcPr>
            <w:tcW w:type="dxa" w:w="2880"/>
          </w:tcPr>
          <w:p>
            <w:r>
              <w:t>P1</w:t>
            </w:r>
          </w:p>
        </w:tc>
      </w:tr>
      <w:tr>
        <w:tc>
          <w:tcPr>
            <w:tcW w:type="dxa" w:w="2880"/>
          </w:tcPr>
          <w:p>
            <w:r>
              <w:t>TC07</w:t>
            </w:r>
          </w:p>
        </w:tc>
        <w:tc>
          <w:tcPr>
            <w:tcW w:type="dxa" w:w="2880"/>
          </w:tcPr>
          <w:p>
            <w:r>
              <w:t>Negative: Verify Cancel Port-in (PC) fails with incorrect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TC08</w:t>
            </w:r>
          </w:p>
        </w:tc>
        <w:tc>
          <w:tcPr>
            <w:tcW w:type="dxa" w:w="2880"/>
          </w:tcPr>
          <w:p>
            <w:r>
              <w:t>Negative: Validate Portin eligibility rejected for Hotlined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TC09</w:t>
            </w:r>
          </w:p>
        </w:tc>
        <w:tc>
          <w:tcPr>
            <w:tcW w:type="dxa" w:w="2880"/>
          </w:tcPr>
          <w:p>
            <w:r>
              <w:t>Negative: Validate Portin eligibility rejected for Deactivated MDN.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TC10</w:t>
            </w:r>
          </w:p>
        </w:tc>
        <w:tc>
          <w:tcPr>
            <w:tcW w:type="dxa" w:w="2880"/>
          </w:tcPr>
          <w:p>
            <w:r>
              <w:t>Negative: Validate Portin eligibility rejected with invalid LineId.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TC11</w:t>
            </w:r>
          </w:p>
        </w:tc>
        <w:tc>
          <w:tcPr>
            <w:tcW w:type="dxa" w:w="2880"/>
          </w:tcPr>
          <w:p>
            <w:r>
              <w:t>Negative: Validate Portin eligibility rejected with invalid AccountId.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TC12</w:t>
            </w:r>
          </w:p>
        </w:tc>
        <w:tc>
          <w:tcPr>
            <w:tcW w:type="dxa" w:w="2880"/>
          </w:tcPr>
          <w:p>
            <w:r>
              <w:t>Negative: Validate Portin eligibility rejected when LineId and AccountId mismatch.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TC13</w:t>
            </w:r>
          </w:p>
        </w:tc>
        <w:tc>
          <w:tcPr>
            <w:tcW w:type="dxa" w:w="2880"/>
          </w:tcPr>
          <w:p>
            <w:r>
              <w:t>Negative: Validate Portin eligibility rejected with invalid MDN format.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</w:tbl>
    <w:p>
      <w:pPr>
        <w:pStyle w:val="Heading2"/>
      </w:pPr>
      <w:r>
        <w:t>Edge Case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TC#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Priority</w:t>
            </w:r>
          </w:p>
        </w:tc>
      </w:tr>
      <w:tr>
        <w:tc>
          <w:tcPr>
            <w:tcW w:type="dxa" w:w="2880"/>
          </w:tcPr>
          <w:p>
            <w:r>
              <w:t>TC14</w:t>
            </w:r>
          </w:p>
        </w:tc>
        <w:tc>
          <w:tcPr>
            <w:tcW w:type="dxa" w:w="2880"/>
          </w:tcPr>
          <w:p>
            <w:r>
              <w:t>Verify Portin eligibility rejects duplicate request for same MDN within processin.</w:t>
            </w:r>
          </w:p>
        </w:tc>
        <w:tc>
          <w:tcPr>
            <w:tcW w:type="dxa" w:w="2880"/>
          </w:tcPr>
          <w:p>
            <w:r>
              <w:t>P2</w:t>
            </w:r>
          </w:p>
        </w:tc>
      </w:tr>
      <w:tr>
        <w:tc>
          <w:tcPr>
            <w:tcW w:type="dxa" w:w="2880"/>
          </w:tcPr>
          <w:p>
            <w:r>
              <w:t>TC18</w:t>
            </w:r>
          </w:p>
        </w:tc>
        <w:tc>
          <w:tcPr>
            <w:tcW w:type="dxa" w:w="2880"/>
          </w:tcPr>
          <w:p>
            <w:r>
              <w:t>Verify Cancel Port-in (PC) succeeds after failed Update Port-in.</w:t>
            </w:r>
          </w:p>
        </w:tc>
        <w:tc>
          <w:tcPr>
            <w:tcW w:type="dxa" w:w="2880"/>
          </w:tcPr>
          <w:p>
            <w:r>
              <w:t>P3</w:t>
            </w:r>
          </w:p>
        </w:tc>
      </w:tr>
    </w:tbl>
    <w:p>
      <w:pPr>
        <w:pStyle w:val="Heading1"/>
      </w:pPr>
      <w:r>
        <w:t>7. Data Sources</w:t>
      </w:r>
    </w:p>
    <w:p>
      <w:pPr>
        <w:pStyle w:val="ListBullet"/>
      </w:pPr>
      <w:r>
        <w:t>Jira: MWTGPROV-4155 (Description, AC, Labels, Links)</w:t>
      </w:r>
    </w:p>
    <w:p>
      <w:pPr>
        <w:pStyle w:val="ListBullet"/>
      </w:pPr>
      <w:r>
        <w:t>Jira Links: MWTGPROV-3779</w:t>
      </w:r>
    </w:p>
    <w:p>
      <w:pPr>
        <w:pStyle w:val="ListBullet"/>
      </w:pPr>
      <w:r>
        <w:t>Chalk: MWTGPROV-4155 section (4 scenarios)</w:t>
      </w:r>
    </w:p>
    <w:p>
      <w:pPr>
        <w:pStyle w:val="Heading1"/>
      </w:pPr>
      <w:r>
        <w:t>8. Linked Issues</w:t>
      </w:r>
    </w:p>
    <w:p>
      <w:pPr>
        <w:pStyle w:val="ListBullet"/>
      </w:pPr>
      <w:r>
        <w:t>MWTGPROV-3779 — [NENM, NSLNM, SV, INTG]: New MVNO - Validate MDN Portability (GET/POST) enhancem</w:t>
      </w:r>
    </w:p>
    <w:p>
      <w:pPr>
        <w:pStyle w:val="Heading1"/>
      </w:pPr>
      <w:r>
        <w:t>9. Warnings &amp; Open Items</w:t>
      </w:r>
    </w:p>
    <w:p>
      <w:pPr>
        <w:pStyle w:val="ListBullet"/>
      </w:pPr>
      <w:r>
        <w:t>Chalk scenario not covered: "Navigation:"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