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10:05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P2=5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Portin eligibility completes successfully with valid inputs via ITMBO chan.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records Validate Portin eligibility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NSL DB state is consistent after successful Validate Portin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Portin eligibility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Cancel Port-in (PC) succeeds over active Validate Portin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Century Report logs all Validate Portin eligibility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NBOP MIG tables reflect correct state after Validate Portin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TMO Genesis portal reflects Validate Portin eligibility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Portin eligibility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Cancel Port-in (PC) fails with incorrect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Portin eligibility rejects duplicate request for same MDN within processin.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Cancel Port-in (PC) succeeds after failed Update Port-in.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Portin eligibility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Regression: Verify Line Inquiry and Service Grouping unaffected by Validate Portin eligibi.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