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2026-04-16 21:25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57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P2=9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 This is used to validate the customer s own mobile number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Portin eligibility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Transaction History after Validate Portin eligibility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Portin eligibility through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subscriber profile displays correctly for Validate Portin eligibility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UI Verify: Validate Port In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Invalid OSP account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MDN not portable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Port-In SP transactionType — verify Syniverse CreateSubscriber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rejects invalid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Edge Case: Validate Portin eligibility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Edge Case: Validate Portin eligibility handles browser refresh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p>
      <w:pPr>
        <w:pStyle w:val="ListBullet"/>
      </w:pPr>
      <w:r>
        <w:t>AC not covered: "Test strategy document is available."</w:t>
      </w:r>
    </w:p>
    <w:p>
      <w:pPr>
        <w:pStyle w:val="ListBullet"/>
      </w:pPr>
      <w:r>
        <w:t>AC not covered: "KPIs and SLAs should be BAU."</w:t>
      </w:r>
    </w:p>
    <w:p>
      <w:pPr>
        <w:pStyle w:val="ListBullet"/>
      </w:pPr>
      <w:r>
        <w:t>AC not covered: "Updated HLD."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Deactivated MDN</w:t>
      </w:r>
    </w:p>
    <w:p>
      <w:pPr>
        <w:pStyle w:val="ListBullet"/>
      </w:pPr>
      <w:r>
        <w:t>Mandatory check missing: Invalid LineId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