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Remove Hotline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Remove Hotline - Split 1 feature for TMO MVNO provisioning. 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3. Scope &amp; Business Rules</w:t>
      </w:r>
    </w:p>
    <w:p>
      <w:r>
        <w:t>[NBOP, INTG]: New MVNO - Remove Hotline - Split 1</w:t>
        <w:br/>
        <w:t>Hotline and Remove Hotline</w:t>
        <w:br/>
        <w:t>NBOP implementation of TMO Hotline and remove Hotline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Through NBOP, go to Manage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Remove Hotline - Split 1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Remove Hotline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Remove Hotline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Remove Hotline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Remove Hotline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Remove Hotline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Edge Case: Validate Remove Hotline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Remove Hotline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MWTGPROV-4192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MWTGPROV-3946</w:t>
      </w:r>
    </w:p>
    <w:p>
      <w:pPr>
        <w:pStyle w:val="ListBullet"/>
      </w:pPr>
      <w:r>
        <w:t>Chalk: MWTGPROV-4192 section (2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MWTGPROV-3946 — [NENM, NSLNM, NBOP, INTG]: New MVNO - Remove Hotline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