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Modifiable without builds – administrators should be able to change mappings and default behaviours through con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Additional error attributes – along with the error code, two extra attributes (e.g., provisioning context and 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New MVNO - Enhance Additional Error remain consistent across all network elements since they fol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