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retrieve call 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Modifiable without builds – administrators should be able to change mappings and default behaviours through 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Additional error attributes – along with the error code, two extra attributes (e.g., provisioning context and 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New MVNO - Enhance Additional Error remain consistent across all network elements since they fol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