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Modifiable without builds – administrators should be able to change mappings and default behaviours through 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Additional error attributes – along with the error code, two extra attributes (e.g., provisioning context and 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Enhance Additional Error remain consistent across all network elements since they fol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