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Suite Generator (TSG)</w:t>
      </w:r>
    </w:p>
    <w:p>
      <w:pPr>
        <w:jc w:val="center"/>
      </w:pPr>
      <w:r>
        <w:t>Executive Overview</w:t>
      </w:r>
    </w:p>
    <w:p/>
    <w:p>
      <w:pPr>
        <w:pStyle w:val="Heading1"/>
      </w:pPr>
      <w:r>
        <w:t>What It Does</w:t>
      </w:r>
    </w:p>
    <w:p>
      <w:r>
        <w:t>TSG is an AI-powered test suite generation platform that automatically creates production-ready test cases for TMO/Spectrum Mobile provisioning features. It replaces weeks of manual test case writing with automated, intelligent generation in minutes.</w:t>
      </w:r>
    </w:p>
    <w:p>
      <w:pPr>
        <w:pStyle w:val="Heading1"/>
      </w:pPr>
      <w:r>
        <w:t>How It Works</w:t>
      </w:r>
    </w:p>
    <w:p>
      <w:r>
        <w:t>The platform ingests data from three sources automatically, processes it through an intelligent engine, and outputs production-ready test suites.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Source</w:t>
            </w:r>
          </w:p>
        </w:tc>
        <w:tc>
          <w:tcPr>
            <w:tcW w:type="dxa" w:w="4320"/>
          </w:tcPr>
          <w:p>
            <w:r>
              <w:t>What It Provides</w:t>
            </w:r>
          </w:p>
        </w:tc>
      </w:tr>
      <w:tr>
        <w:tc>
          <w:tcPr>
            <w:tcW w:type="dxa" w:w="4320"/>
          </w:tcPr>
          <w:p>
            <w:r>
              <w:t>Chalk (Design Specs)</w:t>
            </w:r>
          </w:p>
        </w:tc>
        <w:tc>
          <w:tcPr>
            <w:tcW w:type="dxa" w:w="4320"/>
          </w:tcPr>
          <w:p>
            <w:r>
              <w:t>Feature scenarios, validation rules, transaction flows, CDR derivation rules</w:t>
            </w:r>
          </w:p>
        </w:tc>
      </w:tr>
      <w:tr>
        <w:tc>
          <w:tcPr>
            <w:tcW w:type="dxa" w:w="4320"/>
          </w:tcPr>
          <w:p>
            <w:r>
              <w:t>Jira (Requirements)</w:t>
            </w:r>
          </w:p>
        </w:tc>
        <w:tc>
          <w:tcPr>
            <w:tcW w:type="dxa" w:w="4320"/>
          </w:tcPr>
          <w:p>
            <w:r>
              <w:t>Acceptance criteria, subtask tables (YL state change matrix), comments, attachments</w:t>
            </w:r>
          </w:p>
        </w:tc>
      </w:tr>
      <w:tr>
        <w:tc>
          <w:tcPr>
            <w:tcW w:type="dxa" w:w="4320"/>
          </w:tcPr>
          <w:p>
            <w:r>
              <w:t>NBOP UI Crawler</w:t>
            </w:r>
          </w:p>
        </w:tc>
        <w:tc>
          <w:tcPr>
            <w:tcW w:type="dxa" w:w="4320"/>
          </w:tcPr>
          <w:p>
            <w:r>
              <w:t>Real portal menu paths, field names, button labels for UI test steps</w:t>
            </w:r>
          </w:p>
        </w:tc>
      </w:tr>
    </w:tbl>
    <w:p/>
    <w:p>
      <w:r>
        <w:t>Output: Production-ready Excel test suites with Summary, Description, Preconditions, Test Steps, and Expected Results.</w:t>
      </w:r>
    </w:p>
    <w:p>
      <w:pPr>
        <w:pStyle w:val="Heading1"/>
      </w:pPr>
      <w:r>
        <w:t>Key Numbers (PI-52 and PI-53)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Features covered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Test cases generated</w:t>
            </w:r>
          </w:p>
        </w:tc>
        <w:tc>
          <w:tcPr>
            <w:tcW w:type="dxa" w:w="4320"/>
          </w:tcPr>
          <w:p>
            <w:r>
              <w:t>1,789</w:t>
            </w:r>
          </w:p>
        </w:tc>
      </w:tr>
      <w:tr>
        <w:tc>
          <w:tcPr>
            <w:tcW w:type="dxa" w:w="4320"/>
          </w:tcPr>
          <w:p>
            <w:r>
              <w:t>Test steps generated</w:t>
            </w:r>
          </w:p>
        </w:tc>
        <w:tc>
          <w:tcPr>
            <w:tcW w:type="dxa" w:w="4320"/>
          </w:tcPr>
          <w:p>
            <w:r>
              <w:t>7,233</w:t>
            </w:r>
          </w:p>
        </w:tc>
      </w:tr>
      <w:tr>
        <w:tc>
          <w:tcPr>
            <w:tcW w:type="dxa" w:w="4320"/>
          </w:tcPr>
          <w:p>
            <w:r>
              <w:t>Quality audit pass rate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Chalk scenario alignment</w:t>
            </w:r>
          </w:p>
        </w:tc>
        <w:tc>
          <w:tcPr>
            <w:tcW w:type="dxa" w:w="4320"/>
          </w:tcPr>
          <w:p>
            <w:r>
              <w:t>97.5%</w:t>
            </w:r>
          </w:p>
        </w:tc>
      </w:tr>
      <w:tr>
        <w:tc>
          <w:tcPr>
            <w:tcW w:type="dxa" w:w="4320"/>
          </w:tcPr>
          <w:p>
            <w:r>
              <w:t>Avg generation time/feature</w:t>
            </w:r>
          </w:p>
        </w:tc>
        <w:tc>
          <w:tcPr>
            <w:tcW w:type="dxa" w:w="4320"/>
          </w:tcPr>
          <w:p>
            <w:r>
              <w:t>~30 seconds</w:t>
            </w:r>
          </w:p>
        </w:tc>
      </w:tr>
    </w:tbl>
    <w:p>
      <w:pPr>
        <w:pStyle w:val="Heading1"/>
      </w:pPr>
      <w:r>
        <w:t>Intelligence Layers</w:t>
      </w:r>
    </w:p>
    <w:p>
      <w:pPr>
        <w:pStyle w:val="Heading2"/>
      </w:pPr>
      <w:r>
        <w:t>Integration Contract</w:t>
      </w:r>
    </w:p>
    <w:p>
      <w:r>
        <w:t>24 registered operations with explicit rules for which external systems (Syniverse, ITMBO, EMM, APOLLO_NE) each operation calls and which it must NOT call.</w:t>
      </w:r>
    </w:p>
    <w:p>
      <w:pPr>
        <w:pStyle w:val="Heading2"/>
      </w:pPr>
      <w:r>
        <w:t>Feature Classification</w:t>
      </w:r>
    </w:p>
    <w:p>
      <w:r>
        <w:t>Automatically detects: API, UI, Hybrid, CDR/Mediation, Notification, Inquiry, Sync Subscriber, and Batch. Each type gets domain-specific step templates.</w:t>
      </w:r>
    </w:p>
    <w:p>
      <w:pPr>
        <w:pStyle w:val="Heading2"/>
      </w:pPr>
      <w:r>
        <w:t>15+ Domain-Specific Step Templates</w:t>
      </w:r>
    </w:p>
    <w:p>
      <w:pPr>
        <w:pStyle w:val="ListBullet"/>
      </w:pPr>
      <w:r>
        <w:t>Swap MDN: 19-step pipeline with PSIM vs ESIM Syniverse differentiation</w:t>
      </w:r>
    </w:p>
    <w:p>
      <w:pPr>
        <w:pStyle w:val="ListBullet"/>
      </w:pPr>
      <w:r>
        <w:t>Sync Subscriber: Dynamic steps from Jira subtask tables (TMO Status x NSL Status x Syniverse Action)</w:t>
      </w:r>
    </w:p>
    <w:p>
      <w:pPr>
        <w:pStyle w:val="ListBullet"/>
      </w:pPr>
      <w:r>
        <w:t>Order Inquiry: Response payload validation with TMO vs VZW differentiation</w:t>
      </w:r>
    </w:p>
    <w:p>
      <w:pPr>
        <w:pStyle w:val="ListBullet"/>
      </w:pPr>
      <w:r>
        <w:t>CDR/ILD Processing: Mediation pipeline with PRR file verification</w:t>
      </w:r>
    </w:p>
    <w:p>
      <w:pPr>
        <w:pStyle w:val="ListBullet"/>
      </w:pPr>
      <w:r>
        <w:t>Hotline/Remove Hotline: Explicit dual assertion (what happens + what does NOT happen)</w:t>
      </w:r>
    </w:p>
    <w:p>
      <w:pPr>
        <w:pStyle w:val="ListBullet"/>
      </w:pPr>
      <w:r>
        <w:t>Kafka/BI Events: Century Report EVENT_MESSAGES table verification</w:t>
      </w:r>
    </w:p>
    <w:p>
      <w:pPr>
        <w:pStyle w:val="ListBullet"/>
      </w:pPr>
      <w:r>
        <w:t>Activation: Syniverse CreateSubscriber with NBOP Line Summary verification</w:t>
      </w:r>
    </w:p>
    <w:p>
      <w:pPr>
        <w:pStyle w:val="Heading2"/>
      </w:pPr>
      <w:r>
        <w:t>Jira Subtask Table Intelligence</w:t>
      </w:r>
    </w:p>
    <w:p>
      <w:r>
        <w:t>When Jira subtasks contain structured tables (e.g., YL state change matrix), the engine parses them and generates TCs with steps derived directly from the table data.</w:t>
      </w:r>
    </w:p>
    <w:p>
      <w:pPr>
        <w:pStyle w:val="Heading2"/>
      </w:pPr>
      <w:r>
        <w:t>UI Verification Mirror</w:t>
      </w:r>
    </w:p>
    <w:p>
      <w:r>
        <w:t>For every API operation with an NBOP counterpart, an additional UI verification TC is auto-generated with real navigation paths from the NBOP crawler.</w:t>
      </w:r>
    </w:p>
    <w:p>
      <w:pPr>
        <w:pStyle w:val="Heading1"/>
      </w:pPr>
      <w:r>
        <w:t>Quality Assurance</w:t>
      </w:r>
    </w:p>
    <w:p>
      <w:r>
        <w:t>Every generated test suite passes through a multi-layer quality gate:</w:t>
      </w:r>
    </w:p>
    <w:p>
      <w:pPr>
        <w:pStyle w:val="ListBullet"/>
      </w:pPr>
      <w:r>
        <w:t>Surface quality: No trailing dots, empty fields, or non-standard categories</w:t>
      </w:r>
    </w:p>
    <w:p>
      <w:pPr>
        <w:pStyle w:val="ListBullet"/>
      </w:pPr>
      <w:r>
        <w:t>Cross-contamination: CDR features never get API steps; inquiry features never get Century Report steps</w:t>
      </w:r>
    </w:p>
    <w:p>
      <w:pPr>
        <w:pStyle w:val="ListBullet"/>
      </w:pPr>
      <w:r>
        <w:t>Chalk alignment: 97.5% of Chalk scenarios have matching TC steps</w:t>
      </w:r>
    </w:p>
    <w:p>
      <w:pPr>
        <w:pStyle w:val="ListBullet"/>
      </w:pPr>
      <w:r>
        <w:t>Semantic alignment: Steps match the feature type</w:t>
      </w:r>
    </w:p>
    <w:p>
      <w:pPr>
        <w:pStyle w:val="ListBullet"/>
      </w:pPr>
      <w:r>
        <w:t>Precondition relevance: Sync scenarios get state-specific preconditions</w:t>
      </w:r>
    </w:p>
    <w:p>
      <w:pPr>
        <w:pStyle w:val="Heading1"/>
      </w:pPr>
      <w:r>
        <w:t>Test Suite Executor (TSE)</w:t>
      </w:r>
    </w:p>
    <w:p>
      <w:r>
        <w:t>Generated test suites feed directly into TSE for automated execution:</w:t>
      </w:r>
    </w:p>
    <w:p>
      <w:pPr>
        <w:pStyle w:val="ListBullet"/>
      </w:pPr>
      <w:r>
        <w:t>API steps: OAuth + cURL execution with response validation</w:t>
      </w:r>
    </w:p>
    <w:p>
      <w:pPr>
        <w:pStyle w:val="ListBullet"/>
      </w:pPr>
      <w:r>
        <w:t>UI steps: Playwright-driven NBOP portal automation with screenshots</w:t>
      </w:r>
    </w:p>
    <w:p>
      <w:pPr>
        <w:pStyle w:val="ListBullet"/>
      </w:pPr>
      <w:r>
        <w:t>Century Report steps: Automated report download and validation</w:t>
      </w:r>
    </w:p>
    <w:p>
      <w:pPr>
        <w:pStyle w:val="ListBullet"/>
      </w:pPr>
      <w:r>
        <w:t>Evidence capture: Screenshots, API responses, and DOCX evidence documents per TC</w:t>
      </w:r>
    </w:p>
    <w:p>
      <w:pPr>
        <w:pStyle w:val="Heading1"/>
      </w:pPr>
      <w:r>
        <w:t>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3.13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Browser Automation</w:t>
            </w:r>
          </w:p>
        </w:tc>
        <w:tc>
          <w:tcPr>
            <w:tcW w:type="dxa" w:w="4320"/>
          </w:tcPr>
          <w:p>
            <w:r>
              <w:t>Playwright (Edge/Chrome)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(local cache)</w:t>
            </w:r>
          </w:p>
        </w:tc>
      </w:tr>
      <w:tr>
        <w:tc>
          <w:tcPr>
            <w:tcW w:type="dxa" w:w="4320"/>
          </w:tcPr>
          <w:p>
            <w:r>
              <w:t>Source Control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  <w:tr>
        <w:tc>
          <w:tcPr>
            <w:tcW w:type="dxa" w:w="4320"/>
          </w:tcPr>
          <w:p>
            <w:r>
              <w:t>AI/LLM</w:t>
            </w:r>
          </w:p>
        </w:tc>
        <w:tc>
          <w:tcPr>
            <w:tcW w:type="dxa" w:w="4320"/>
          </w:tcPr>
          <w:p>
            <w:r>
              <w:t>None - all rule-based and deterministic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