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12:18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Tablets. Wearables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GET POST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Retrieve device GET POST completes successfully with valid inputs via ITMBO channel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DB state is consistent after successful Retrieve device GET POST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Retrieve device GET POST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Century Report logs all Retrieve device GET POST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Network Inquiry - retrieve-deviceIMEI or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When the TMO radio button is selected send the API request with RequestType sent as ‘TMO’ in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When CS access to the ‘MNO TMO’ permission is OFF to display the current Network Inquiry screen without showing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As NSL it should enhance the GET retrieve device api to ensure it fetches details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Retrieve device GET POST handles TMO Apollo-NE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Retrieve device GET POST rejects duplicate request for same MDN within processing 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Retrieve device GET POST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AC not covered: "Devices supported must cover Phones, Tablets. Wearables"</w:t>
      </w:r>
    </w:p>
    <w:p>
      <w:pPr>
        <w:pStyle w:val="ListBullet"/>
      </w:pPr>
      <w:r>
        <w:t>AC not covered: "A) The standalone flows for each API should be self-contained, functional, and e"</w:t>
      </w:r>
    </w:p>
    <w:p>
      <w:pPr>
        <w:pStyle w:val="ListBullet"/>
      </w:pPr>
      <w:r>
        <w:t>AC not covered: "B) When integrated into a larger workflow, the standalone flows for each API mus"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