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B2BA" w14:textId="2DBCDD71" w:rsidR="00A44188" w:rsidRPr="00A44188" w:rsidRDefault="00A44188" w:rsidP="00A44188">
      <w:pPr>
        <w:autoSpaceDE w:val="0"/>
        <w:autoSpaceDN w:val="0"/>
        <w:adjustRightInd w:val="0"/>
        <w:spacing w:after="0" w:line="240" w:lineRule="auto"/>
        <w:rPr>
          <w:rFonts w:cs="CMBX12"/>
          <w:b/>
          <w:bCs/>
          <w:sz w:val="24"/>
          <w:szCs w:val="24"/>
        </w:rPr>
      </w:pPr>
      <w:r w:rsidRPr="00A44188">
        <w:rPr>
          <w:rFonts w:cs="CMBX12"/>
          <w:b/>
          <w:bCs/>
          <w:sz w:val="24"/>
          <w:szCs w:val="24"/>
        </w:rPr>
        <w:t>Results</w:t>
      </w:r>
    </w:p>
    <w:p w14:paraId="1920CC29" w14:textId="77777777" w:rsidR="00A44188" w:rsidRDefault="00A44188" w:rsidP="00A44188">
      <w:pPr>
        <w:autoSpaceDE w:val="0"/>
        <w:autoSpaceDN w:val="0"/>
        <w:adjustRightInd w:val="0"/>
        <w:spacing w:after="0" w:line="240" w:lineRule="auto"/>
        <w:rPr>
          <w:rFonts w:cs="CMR12"/>
          <w:sz w:val="24"/>
          <w:szCs w:val="24"/>
        </w:rPr>
      </w:pPr>
    </w:p>
    <w:p w14:paraId="4C8EF585" w14:textId="7232382A" w:rsidR="001E4E1D" w:rsidRPr="001B6224" w:rsidRDefault="00A44188" w:rsidP="00A44188">
      <w:pPr>
        <w:autoSpaceDE w:val="0"/>
        <w:autoSpaceDN w:val="0"/>
        <w:adjustRightInd w:val="0"/>
        <w:spacing w:after="0" w:line="240" w:lineRule="auto"/>
        <w:rPr>
          <w:rFonts w:cs="CMR12"/>
          <w:strike/>
          <w:sz w:val="24"/>
          <w:szCs w:val="24"/>
        </w:rPr>
      </w:pPr>
      <w:r w:rsidRPr="001B6224">
        <w:rPr>
          <w:rFonts w:cs="CMR12"/>
          <w:strike/>
          <w:sz w:val="24"/>
          <w:szCs w:val="24"/>
        </w:rPr>
        <w:t>The inclusion criteria designated in materials and methods gave a sample set of 34 patients from the original 102 previously described [6]</w:t>
      </w:r>
      <w:r w:rsidR="001E4E1D" w:rsidRPr="001B6224">
        <w:rPr>
          <w:rFonts w:cs="CMR12"/>
          <w:strike/>
          <w:sz w:val="24"/>
          <w:szCs w:val="24"/>
        </w:rPr>
        <w:t>. The cohort was representative of this original patient set except that the male:female ratio was inverted (Table 1). In agreement with the published cohort, our sample set was enriched for cases with extracapsular spread (i.e. poor prognosis) in comparison to the general HNSCC population (Rogers et al., Oral Oncology 2009). Of the</w:t>
      </w:r>
      <w:r w:rsidR="00E644DB" w:rsidRPr="001B6224">
        <w:rPr>
          <w:rFonts w:cs="CMR12"/>
          <w:strike/>
          <w:sz w:val="24"/>
          <w:szCs w:val="24"/>
        </w:rPr>
        <w:t>se 34 patients</w:t>
      </w:r>
      <w:r w:rsidR="001E4E1D" w:rsidRPr="001B6224">
        <w:rPr>
          <w:rFonts w:cs="CMR12"/>
          <w:strike/>
          <w:sz w:val="24"/>
          <w:szCs w:val="24"/>
        </w:rPr>
        <w:t xml:space="preserve">, 24 remained alive 12 months after surgery, while </w:t>
      </w:r>
      <w:r w:rsidR="00E644DB" w:rsidRPr="001B6224">
        <w:rPr>
          <w:rFonts w:cs="CMR12"/>
          <w:strike/>
          <w:sz w:val="24"/>
          <w:szCs w:val="24"/>
        </w:rPr>
        <w:t>19 survived to two years.</w:t>
      </w:r>
    </w:p>
    <w:p w14:paraId="4604529E" w14:textId="77777777" w:rsidR="001E4E1D" w:rsidRDefault="001E4E1D" w:rsidP="00A44188">
      <w:pPr>
        <w:autoSpaceDE w:val="0"/>
        <w:autoSpaceDN w:val="0"/>
        <w:adjustRightInd w:val="0"/>
        <w:spacing w:after="0" w:line="240" w:lineRule="auto"/>
        <w:rPr>
          <w:rFonts w:cs="CMR12"/>
          <w:sz w:val="24"/>
          <w:szCs w:val="24"/>
        </w:rPr>
      </w:pPr>
    </w:p>
    <w:p w14:paraId="36A5518E" w14:textId="77777777" w:rsidR="001E4E1D" w:rsidRDefault="001E4E1D" w:rsidP="00A44188">
      <w:pPr>
        <w:autoSpaceDE w:val="0"/>
        <w:autoSpaceDN w:val="0"/>
        <w:adjustRightInd w:val="0"/>
        <w:spacing w:after="0" w:line="240" w:lineRule="auto"/>
        <w:rPr>
          <w:rFonts w:cs="CMR12"/>
          <w:sz w:val="24"/>
          <w:szCs w:val="24"/>
        </w:rPr>
      </w:pPr>
      <w:r>
        <w:rPr>
          <w:rFonts w:cs="CMR12"/>
          <w:sz w:val="24"/>
          <w:szCs w:val="24"/>
        </w:rPr>
        <w:t>&lt;TABLE 1&gt;</w:t>
      </w:r>
    </w:p>
    <w:p w14:paraId="6BC63479" w14:textId="2898A0C2" w:rsidR="001E4E1D" w:rsidRPr="001B6224" w:rsidRDefault="001E4E1D" w:rsidP="00A44188">
      <w:pPr>
        <w:autoSpaceDE w:val="0"/>
        <w:autoSpaceDN w:val="0"/>
        <w:adjustRightInd w:val="0"/>
        <w:spacing w:after="0" w:line="240" w:lineRule="auto"/>
        <w:rPr>
          <w:rFonts w:cs="CMR12"/>
          <w:strike/>
          <w:sz w:val="24"/>
          <w:szCs w:val="24"/>
        </w:rPr>
      </w:pPr>
      <w:r w:rsidRPr="001B6224">
        <w:rPr>
          <w:rFonts w:cs="CMR12"/>
          <w:b/>
          <w:bCs/>
          <w:strike/>
          <w:sz w:val="24"/>
          <w:szCs w:val="24"/>
        </w:rPr>
        <w:t>Table 1</w:t>
      </w:r>
      <w:r w:rsidRPr="001B6224">
        <w:rPr>
          <w:rFonts w:cs="CMR12"/>
          <w:strike/>
          <w:sz w:val="24"/>
          <w:szCs w:val="24"/>
        </w:rPr>
        <w:t>: Clinicopathological and outcome data of the current cohort</w:t>
      </w:r>
    </w:p>
    <w:p w14:paraId="025BF518" w14:textId="1CD63931" w:rsidR="00E644DB" w:rsidRDefault="00E644DB" w:rsidP="00A44188">
      <w:pPr>
        <w:autoSpaceDE w:val="0"/>
        <w:autoSpaceDN w:val="0"/>
        <w:adjustRightInd w:val="0"/>
        <w:spacing w:after="0" w:line="240" w:lineRule="auto"/>
        <w:rPr>
          <w:rFonts w:cs="CMR12"/>
          <w:sz w:val="24"/>
          <w:szCs w:val="24"/>
        </w:rPr>
      </w:pPr>
    </w:p>
    <w:p w14:paraId="615CCB5E" w14:textId="77777777" w:rsidR="00E644DB" w:rsidRPr="001E4E1D" w:rsidRDefault="00E644DB" w:rsidP="00A44188">
      <w:pPr>
        <w:autoSpaceDE w:val="0"/>
        <w:autoSpaceDN w:val="0"/>
        <w:adjustRightInd w:val="0"/>
        <w:spacing w:after="0" w:line="240" w:lineRule="auto"/>
        <w:rPr>
          <w:rFonts w:cs="CMR12"/>
          <w:sz w:val="24"/>
          <w:szCs w:val="24"/>
        </w:rPr>
      </w:pPr>
    </w:p>
    <w:p w14:paraId="108105B3" w14:textId="3A73E616" w:rsidR="00E644DB" w:rsidRDefault="00E644DB" w:rsidP="00A44188">
      <w:pPr>
        <w:autoSpaceDE w:val="0"/>
        <w:autoSpaceDN w:val="0"/>
        <w:adjustRightInd w:val="0"/>
        <w:spacing w:after="0" w:line="240" w:lineRule="auto"/>
        <w:rPr>
          <w:rFonts w:cs="CMR12"/>
          <w:sz w:val="24"/>
          <w:szCs w:val="24"/>
        </w:rPr>
      </w:pPr>
      <w:r>
        <w:rPr>
          <w:rFonts w:cs="CMR12"/>
          <w:sz w:val="24"/>
          <w:szCs w:val="24"/>
        </w:rPr>
        <w:t xml:space="preserve">Utilising the Mantel Cox log rank test to define patients with </w:t>
      </w:r>
      <w:r w:rsidR="00473C06">
        <w:rPr>
          <w:rFonts w:cs="CMR12"/>
          <w:sz w:val="24"/>
          <w:szCs w:val="24"/>
        </w:rPr>
        <w:t xml:space="preserve">the </w:t>
      </w:r>
      <w:r>
        <w:rPr>
          <w:rFonts w:cs="CMR12"/>
          <w:sz w:val="24"/>
          <w:szCs w:val="24"/>
        </w:rPr>
        <w:t>high</w:t>
      </w:r>
      <w:r w:rsidR="00473C06">
        <w:rPr>
          <w:rFonts w:cs="CMR12"/>
          <w:sz w:val="24"/>
          <w:szCs w:val="24"/>
        </w:rPr>
        <w:t>est</w:t>
      </w:r>
      <w:r>
        <w:rPr>
          <w:rFonts w:cs="CMR12"/>
          <w:sz w:val="24"/>
          <w:szCs w:val="24"/>
        </w:rPr>
        <w:t xml:space="preserve"> risk of death based on outcome data alone, defined the group of 9 patients who did not survive 12 months as a separate, high risk, cohort (Figure 2).</w:t>
      </w:r>
      <w:r w:rsidR="00213F7E">
        <w:rPr>
          <w:rFonts w:cs="CMR12"/>
          <w:sz w:val="24"/>
          <w:szCs w:val="24"/>
        </w:rPr>
        <w:t xml:space="preserve"> Survival at 12 months was therefore taken as our timepoint for further analysis.</w:t>
      </w:r>
    </w:p>
    <w:p w14:paraId="4957AAC6" w14:textId="77777777" w:rsidR="00E644DB" w:rsidRDefault="00E644DB" w:rsidP="00A44188">
      <w:pPr>
        <w:autoSpaceDE w:val="0"/>
        <w:autoSpaceDN w:val="0"/>
        <w:adjustRightInd w:val="0"/>
        <w:spacing w:after="0" w:line="240" w:lineRule="auto"/>
        <w:rPr>
          <w:rFonts w:cs="CMR12"/>
          <w:sz w:val="24"/>
          <w:szCs w:val="24"/>
        </w:rPr>
      </w:pPr>
    </w:p>
    <w:p w14:paraId="2F283EF3" w14:textId="77777777" w:rsidR="00E644DB" w:rsidRDefault="00E644DB" w:rsidP="00A44188">
      <w:pPr>
        <w:autoSpaceDE w:val="0"/>
        <w:autoSpaceDN w:val="0"/>
        <w:adjustRightInd w:val="0"/>
        <w:spacing w:after="0" w:line="240" w:lineRule="auto"/>
        <w:rPr>
          <w:rFonts w:cs="CMR12"/>
          <w:sz w:val="24"/>
          <w:szCs w:val="24"/>
        </w:rPr>
      </w:pPr>
      <w:r>
        <w:rPr>
          <w:rFonts w:cs="CMR12"/>
          <w:sz w:val="24"/>
          <w:szCs w:val="24"/>
        </w:rPr>
        <w:t>&lt;FIGURE 2&gt;</w:t>
      </w:r>
    </w:p>
    <w:p w14:paraId="35C4FD96" w14:textId="77777777" w:rsidR="00E644DB" w:rsidRDefault="00E644DB" w:rsidP="00A44188">
      <w:pPr>
        <w:autoSpaceDE w:val="0"/>
        <w:autoSpaceDN w:val="0"/>
        <w:adjustRightInd w:val="0"/>
        <w:spacing w:after="0" w:line="240" w:lineRule="auto"/>
        <w:rPr>
          <w:rFonts w:cs="CMR12"/>
          <w:sz w:val="24"/>
          <w:szCs w:val="24"/>
        </w:rPr>
      </w:pPr>
      <w:r>
        <w:rPr>
          <w:rFonts w:cs="CMR12"/>
          <w:b/>
          <w:bCs/>
          <w:sz w:val="24"/>
          <w:szCs w:val="24"/>
        </w:rPr>
        <w:t>Figure 2</w:t>
      </w:r>
      <w:r>
        <w:rPr>
          <w:rFonts w:cs="CMR12"/>
          <w:sz w:val="24"/>
          <w:szCs w:val="24"/>
        </w:rPr>
        <w:t>. Mantel Cox log rank test to discriminate between higher and lower risk cohorts</w:t>
      </w:r>
    </w:p>
    <w:p w14:paraId="1E761C14" w14:textId="77777777" w:rsidR="00E644DB" w:rsidRDefault="00E644DB" w:rsidP="00A44188">
      <w:pPr>
        <w:autoSpaceDE w:val="0"/>
        <w:autoSpaceDN w:val="0"/>
        <w:adjustRightInd w:val="0"/>
        <w:spacing w:after="0" w:line="240" w:lineRule="auto"/>
        <w:rPr>
          <w:rFonts w:cs="CMR12"/>
          <w:sz w:val="24"/>
          <w:szCs w:val="24"/>
        </w:rPr>
      </w:pPr>
    </w:p>
    <w:p w14:paraId="2C7FC255" w14:textId="77777777" w:rsidR="00473C06" w:rsidRDefault="00473C06" w:rsidP="00A44188">
      <w:pPr>
        <w:autoSpaceDE w:val="0"/>
        <w:autoSpaceDN w:val="0"/>
        <w:adjustRightInd w:val="0"/>
        <w:spacing w:after="0" w:line="240" w:lineRule="auto"/>
        <w:rPr>
          <w:rFonts w:cs="CMR12"/>
          <w:sz w:val="24"/>
          <w:szCs w:val="24"/>
        </w:rPr>
      </w:pPr>
    </w:p>
    <w:p w14:paraId="086014DA" w14:textId="3D0424D0" w:rsidR="00A44188" w:rsidRDefault="00473C06" w:rsidP="00473C06">
      <w:pPr>
        <w:autoSpaceDE w:val="0"/>
        <w:autoSpaceDN w:val="0"/>
        <w:adjustRightInd w:val="0"/>
        <w:spacing w:after="0" w:line="240" w:lineRule="auto"/>
        <w:rPr>
          <w:rFonts w:cs="CMR12"/>
          <w:sz w:val="24"/>
          <w:szCs w:val="24"/>
        </w:rPr>
      </w:pPr>
      <w:r>
        <w:rPr>
          <w:rFonts w:cs="CMR12"/>
          <w:sz w:val="24"/>
          <w:szCs w:val="24"/>
        </w:rPr>
        <w:t xml:space="preserve">A </w:t>
      </w:r>
      <w:r w:rsidR="00E644DB">
        <w:rPr>
          <w:rFonts w:cs="CMR12"/>
          <w:sz w:val="24"/>
          <w:szCs w:val="24"/>
        </w:rPr>
        <w:t xml:space="preserve">total of </w:t>
      </w:r>
      <w:r w:rsidR="00C93DA8">
        <w:rPr>
          <w:rFonts w:cs="CMR12"/>
          <w:sz w:val="24"/>
          <w:szCs w:val="24"/>
        </w:rPr>
        <w:t>172</w:t>
      </w:r>
      <w:r w:rsidR="00A44188" w:rsidRPr="00A44188">
        <w:rPr>
          <w:rFonts w:cs="CMR12"/>
          <w:sz w:val="24"/>
          <w:szCs w:val="24"/>
        </w:rPr>
        <w:t>,</w:t>
      </w:r>
      <w:r w:rsidR="00C93DA8">
        <w:rPr>
          <w:rFonts w:cs="CMR12"/>
          <w:sz w:val="24"/>
          <w:szCs w:val="24"/>
        </w:rPr>
        <w:t>969</w:t>
      </w:r>
      <w:r w:rsidR="00A44188" w:rsidRPr="00A44188">
        <w:rPr>
          <w:rFonts w:cs="CMR12"/>
          <w:sz w:val="24"/>
          <w:szCs w:val="24"/>
        </w:rPr>
        <w:t xml:space="preserve"> </w:t>
      </w:r>
      <w:r>
        <w:rPr>
          <w:rFonts w:cs="CMR12"/>
          <w:sz w:val="24"/>
          <w:szCs w:val="24"/>
        </w:rPr>
        <w:t xml:space="preserve">FTIR </w:t>
      </w:r>
      <w:r w:rsidR="00A44188" w:rsidRPr="00A44188">
        <w:rPr>
          <w:rFonts w:cs="CMR12"/>
          <w:sz w:val="24"/>
          <w:szCs w:val="24"/>
        </w:rPr>
        <w:t>spectra</w:t>
      </w:r>
      <w:r>
        <w:rPr>
          <w:rFonts w:cs="CMR12"/>
          <w:sz w:val="24"/>
          <w:szCs w:val="24"/>
        </w:rPr>
        <w:t xml:space="preserve"> </w:t>
      </w:r>
      <w:r w:rsidR="00E644DB">
        <w:rPr>
          <w:rFonts w:cs="CMR12"/>
          <w:sz w:val="24"/>
          <w:szCs w:val="24"/>
        </w:rPr>
        <w:t>were obtained from the 2</w:t>
      </w:r>
      <w:r w:rsidR="00C93DA8">
        <w:rPr>
          <w:rFonts w:cs="CMR12"/>
          <w:sz w:val="24"/>
          <w:szCs w:val="24"/>
        </w:rPr>
        <w:t>1</w:t>
      </w:r>
      <w:r w:rsidR="00A44188" w:rsidRPr="00A44188">
        <w:rPr>
          <w:rFonts w:cs="CMR12"/>
          <w:sz w:val="24"/>
          <w:szCs w:val="24"/>
        </w:rPr>
        <w:t xml:space="preserve"> patients </w:t>
      </w:r>
      <w:r w:rsidR="00E644DB">
        <w:rPr>
          <w:rFonts w:cs="CMR12"/>
          <w:sz w:val="24"/>
          <w:szCs w:val="24"/>
        </w:rPr>
        <w:t xml:space="preserve">who survived beyond </w:t>
      </w:r>
      <w:r w:rsidR="00A44188" w:rsidRPr="00A44188">
        <w:rPr>
          <w:rFonts w:cs="CMR12"/>
          <w:sz w:val="24"/>
          <w:szCs w:val="24"/>
        </w:rPr>
        <w:t>one year</w:t>
      </w:r>
      <w:r w:rsidR="00E644DB">
        <w:rPr>
          <w:rFonts w:cs="CMR12"/>
          <w:sz w:val="24"/>
          <w:szCs w:val="24"/>
        </w:rPr>
        <w:t xml:space="preserve"> and </w:t>
      </w:r>
      <w:r w:rsidR="00A44188" w:rsidRPr="00A44188">
        <w:rPr>
          <w:rFonts w:cs="CMR12"/>
          <w:sz w:val="24"/>
          <w:szCs w:val="24"/>
        </w:rPr>
        <w:t>96,402</w:t>
      </w:r>
      <w:r>
        <w:rPr>
          <w:rFonts w:cs="CMR12"/>
          <w:sz w:val="24"/>
          <w:szCs w:val="24"/>
        </w:rPr>
        <w:t xml:space="preserve"> </w:t>
      </w:r>
      <w:r w:rsidR="00A44188" w:rsidRPr="00A44188">
        <w:rPr>
          <w:rFonts w:cs="CMR12"/>
          <w:sz w:val="24"/>
          <w:szCs w:val="24"/>
        </w:rPr>
        <w:t xml:space="preserve">spectra </w:t>
      </w:r>
      <w:r w:rsidR="00E644DB">
        <w:rPr>
          <w:rFonts w:cs="CMR12"/>
          <w:sz w:val="24"/>
          <w:szCs w:val="24"/>
        </w:rPr>
        <w:t xml:space="preserve">were obtained from </w:t>
      </w:r>
      <w:r w:rsidR="00A44188" w:rsidRPr="00A44188">
        <w:rPr>
          <w:rFonts w:cs="CMR12"/>
          <w:sz w:val="24"/>
          <w:szCs w:val="24"/>
        </w:rPr>
        <w:t xml:space="preserve">10 patients who </w:t>
      </w:r>
      <w:r w:rsidR="00E644DB">
        <w:rPr>
          <w:rFonts w:cs="CMR12"/>
          <w:sz w:val="24"/>
          <w:szCs w:val="24"/>
        </w:rPr>
        <w:t xml:space="preserve">died within 12 months. </w:t>
      </w:r>
      <w:r w:rsidR="00213F7E">
        <w:rPr>
          <w:rFonts w:cs="CMR12"/>
          <w:sz w:val="24"/>
          <w:szCs w:val="24"/>
        </w:rPr>
        <w:t xml:space="preserve">After modelling these data </w:t>
      </w:r>
      <w:r w:rsidR="004E7E83">
        <w:rPr>
          <w:rFonts w:cs="CMR12"/>
          <w:sz w:val="24"/>
          <w:szCs w:val="24"/>
        </w:rPr>
        <w:t xml:space="preserve">in 100 different train/test iterations </w:t>
      </w:r>
      <w:r w:rsidR="00213F7E">
        <w:rPr>
          <w:rFonts w:cs="CMR12"/>
          <w:sz w:val="24"/>
          <w:szCs w:val="24"/>
        </w:rPr>
        <w:t xml:space="preserve">using PCA and </w:t>
      </w:r>
      <w:r w:rsidR="00C93DA8">
        <w:rPr>
          <w:rFonts w:cs="CMR12"/>
          <w:sz w:val="24"/>
          <w:szCs w:val="24"/>
        </w:rPr>
        <w:t>logistic</w:t>
      </w:r>
      <w:r w:rsidR="00213F7E">
        <w:rPr>
          <w:rFonts w:cs="CMR12"/>
          <w:sz w:val="24"/>
          <w:szCs w:val="24"/>
        </w:rPr>
        <w:t xml:space="preserve"> regression, as described in materials and methods, the mean AUC (area under the receiver operating characteristic curve) was shown to be 0.63 (Figure 3A) a</w:t>
      </w:r>
      <w:r w:rsidR="004E7E83">
        <w:rPr>
          <w:rFonts w:cs="CMR12"/>
          <w:sz w:val="24"/>
          <w:szCs w:val="24"/>
        </w:rPr>
        <w:t>n</w:t>
      </w:r>
      <w:r w:rsidR="00213F7E">
        <w:rPr>
          <w:rFonts w:cs="CMR12"/>
          <w:sz w:val="24"/>
          <w:szCs w:val="24"/>
        </w:rPr>
        <w:t xml:space="preserve">d incorporation of the ASMA data into this analysis, increased the AUC to 0.70. Although the precision decreased with recall, the overall curve suggested that the data was sufficiently balanced to accept the model </w:t>
      </w:r>
      <w:commentRangeStart w:id="0"/>
      <w:r w:rsidR="00213F7E">
        <w:rPr>
          <w:rFonts w:cs="CMR12"/>
          <w:sz w:val="24"/>
          <w:szCs w:val="24"/>
        </w:rPr>
        <w:t xml:space="preserve">(Figure 3B).  </w:t>
      </w:r>
      <w:commentRangeEnd w:id="0"/>
      <w:r w:rsidR="00213F7E">
        <w:rPr>
          <w:rStyle w:val="CommentReference"/>
        </w:rPr>
        <w:commentReference w:id="0"/>
      </w:r>
      <w:r w:rsidR="00213F7E">
        <w:rPr>
          <w:rFonts w:cs="CMR12"/>
          <w:sz w:val="24"/>
          <w:szCs w:val="24"/>
        </w:rPr>
        <w:t xml:space="preserve">Furthermore, </w:t>
      </w:r>
      <w:r w:rsidR="00657777">
        <w:rPr>
          <w:rFonts w:cs="CMR12"/>
          <w:sz w:val="24"/>
          <w:szCs w:val="24"/>
        </w:rPr>
        <w:t>additional classification statistics produced comparable conclusions, showing that the model was a good predictor of poor outcome</w:t>
      </w:r>
      <w:r w:rsidR="004E7E83">
        <w:rPr>
          <w:rFonts w:cs="CMR12"/>
          <w:sz w:val="24"/>
          <w:szCs w:val="24"/>
        </w:rPr>
        <w:t xml:space="preserve"> </w:t>
      </w:r>
      <w:r w:rsidR="00657777">
        <w:rPr>
          <w:rFonts w:cs="CMR12"/>
          <w:sz w:val="24"/>
          <w:szCs w:val="24"/>
        </w:rPr>
        <w:t>(Figure 3 C-H)</w:t>
      </w:r>
      <w:r w:rsidR="004E7E83">
        <w:rPr>
          <w:rFonts w:cs="CMR12"/>
          <w:sz w:val="24"/>
          <w:szCs w:val="24"/>
        </w:rPr>
        <w:t xml:space="preserve"> with median specificity of </w:t>
      </w:r>
      <w:commentRangeStart w:id="1"/>
      <w:r w:rsidR="004E7E83">
        <w:rPr>
          <w:rFonts w:cs="CMR12"/>
          <w:sz w:val="24"/>
          <w:szCs w:val="24"/>
        </w:rPr>
        <w:t>? and sensitivity of ?</w:t>
      </w:r>
      <w:r w:rsidR="00657777">
        <w:rPr>
          <w:rFonts w:cs="CMR12"/>
          <w:sz w:val="24"/>
          <w:szCs w:val="24"/>
        </w:rPr>
        <w:t>.</w:t>
      </w:r>
      <w:commentRangeEnd w:id="1"/>
      <w:r w:rsidR="004E7E83">
        <w:rPr>
          <w:rStyle w:val="CommentReference"/>
        </w:rPr>
        <w:commentReference w:id="1"/>
      </w:r>
    </w:p>
    <w:p w14:paraId="1E751C8B" w14:textId="33796F99" w:rsidR="00657777" w:rsidRDefault="00657777" w:rsidP="00473C06">
      <w:pPr>
        <w:autoSpaceDE w:val="0"/>
        <w:autoSpaceDN w:val="0"/>
        <w:adjustRightInd w:val="0"/>
        <w:spacing w:after="0" w:line="240" w:lineRule="auto"/>
        <w:rPr>
          <w:rFonts w:cs="CMR12"/>
          <w:sz w:val="24"/>
          <w:szCs w:val="24"/>
        </w:rPr>
      </w:pPr>
    </w:p>
    <w:p w14:paraId="54BB01D8" w14:textId="27A7ED82" w:rsidR="00657777" w:rsidRPr="00A44188" w:rsidRDefault="00657777" w:rsidP="00473C06">
      <w:pPr>
        <w:autoSpaceDE w:val="0"/>
        <w:autoSpaceDN w:val="0"/>
        <w:adjustRightInd w:val="0"/>
        <w:spacing w:after="0" w:line="240" w:lineRule="auto"/>
        <w:rPr>
          <w:rFonts w:cs="CMBX12"/>
          <w:sz w:val="24"/>
          <w:szCs w:val="24"/>
        </w:rPr>
      </w:pPr>
      <w:r>
        <w:rPr>
          <w:rFonts w:cs="CMR12"/>
          <w:sz w:val="24"/>
          <w:szCs w:val="24"/>
        </w:rPr>
        <w:t>&lt;FIGURE3&gt;  = an amalgamation of current figure 2 (ROC/PR curves) and figure 3 (box and whisker plots)</w:t>
      </w:r>
    </w:p>
    <w:p w14:paraId="6DCC446B" w14:textId="2749EFD0" w:rsidR="00657777" w:rsidRDefault="00A44188" w:rsidP="00A44188">
      <w:pPr>
        <w:autoSpaceDE w:val="0"/>
        <w:autoSpaceDN w:val="0"/>
        <w:adjustRightInd w:val="0"/>
        <w:spacing w:after="0" w:line="240" w:lineRule="auto"/>
        <w:rPr>
          <w:rFonts w:cs="CMR12"/>
          <w:sz w:val="24"/>
          <w:szCs w:val="24"/>
        </w:rPr>
      </w:pPr>
      <w:r w:rsidRPr="00657777">
        <w:rPr>
          <w:rFonts w:cs="CMR12"/>
          <w:b/>
          <w:bCs/>
          <w:sz w:val="24"/>
          <w:szCs w:val="24"/>
        </w:rPr>
        <w:t>Figure 2</w:t>
      </w:r>
      <w:r w:rsidR="00657777">
        <w:rPr>
          <w:rFonts w:cs="CMR12"/>
          <w:sz w:val="24"/>
          <w:szCs w:val="24"/>
        </w:rPr>
        <w:t>. Classification statistics for the modelling of survival at one year using IR data alone (orange) and FTIR supplemented with ASMA data (blue).</w:t>
      </w:r>
    </w:p>
    <w:p w14:paraId="70BFBE9A" w14:textId="6961A3D1" w:rsidR="00657777" w:rsidRDefault="00657777" w:rsidP="00A44188">
      <w:pPr>
        <w:autoSpaceDE w:val="0"/>
        <w:autoSpaceDN w:val="0"/>
        <w:adjustRightInd w:val="0"/>
        <w:spacing w:after="0" w:line="240" w:lineRule="auto"/>
        <w:rPr>
          <w:rFonts w:cs="CMR12"/>
          <w:sz w:val="24"/>
          <w:szCs w:val="24"/>
        </w:rPr>
      </w:pPr>
      <w:r>
        <w:rPr>
          <w:rFonts w:cs="CMR12"/>
          <w:sz w:val="24"/>
          <w:szCs w:val="24"/>
        </w:rPr>
        <w:t xml:space="preserve">A: ROC curve; B: PR curve; C-H: box and whisker plots of: AUC (C); Matthews Correlation Coefficient (MCC)(D); specificity (E); sensitivity (F); positive predictive value (PPV)(G); and negative predictive value (NPV)(H). </w:t>
      </w:r>
      <w:commentRangeStart w:id="2"/>
      <w:r>
        <w:rPr>
          <w:rFonts w:cs="CMR12"/>
          <w:sz w:val="24"/>
          <w:szCs w:val="24"/>
        </w:rPr>
        <w:t>Coloured boxes show the area enclosed by the 25</w:t>
      </w:r>
      <w:r w:rsidRPr="00657777">
        <w:rPr>
          <w:rFonts w:cs="CMR12"/>
          <w:sz w:val="24"/>
          <w:szCs w:val="24"/>
          <w:vertAlign w:val="superscript"/>
        </w:rPr>
        <w:t>th</w:t>
      </w:r>
      <w:r>
        <w:rPr>
          <w:rFonts w:cs="CMR12"/>
          <w:sz w:val="24"/>
          <w:szCs w:val="24"/>
        </w:rPr>
        <w:t xml:space="preserve"> and 75</w:t>
      </w:r>
      <w:r w:rsidRPr="00657777">
        <w:rPr>
          <w:rFonts w:cs="CMR12"/>
          <w:sz w:val="24"/>
          <w:szCs w:val="24"/>
          <w:vertAlign w:val="superscript"/>
        </w:rPr>
        <w:t>th</w:t>
      </w:r>
      <w:r>
        <w:rPr>
          <w:rFonts w:cs="CMR12"/>
          <w:sz w:val="24"/>
          <w:szCs w:val="24"/>
        </w:rPr>
        <w:t xml:space="preserve"> percentiles with the median shown as a bar. Whiskers indicate the 90</w:t>
      </w:r>
      <w:r w:rsidRPr="00657777">
        <w:rPr>
          <w:rFonts w:cs="CMR12"/>
          <w:sz w:val="24"/>
          <w:szCs w:val="24"/>
          <w:vertAlign w:val="superscript"/>
        </w:rPr>
        <w:t>th</w:t>
      </w:r>
      <w:r>
        <w:rPr>
          <w:rFonts w:cs="CMR12"/>
          <w:sz w:val="24"/>
          <w:szCs w:val="24"/>
        </w:rPr>
        <w:t xml:space="preserve"> percentile</w:t>
      </w:r>
      <w:commentRangeEnd w:id="2"/>
      <w:r>
        <w:rPr>
          <w:rStyle w:val="CommentReference"/>
        </w:rPr>
        <w:commentReference w:id="2"/>
      </w:r>
      <w:r>
        <w:rPr>
          <w:rFonts w:cs="CMR12"/>
          <w:sz w:val="24"/>
          <w:szCs w:val="24"/>
        </w:rPr>
        <w:t>.</w:t>
      </w:r>
    </w:p>
    <w:p w14:paraId="2882465E" w14:textId="77777777" w:rsidR="00657777" w:rsidRDefault="00657777" w:rsidP="00A44188">
      <w:pPr>
        <w:autoSpaceDE w:val="0"/>
        <w:autoSpaceDN w:val="0"/>
        <w:adjustRightInd w:val="0"/>
        <w:spacing w:after="0" w:line="240" w:lineRule="auto"/>
        <w:rPr>
          <w:rFonts w:cs="CMR12"/>
          <w:sz w:val="24"/>
          <w:szCs w:val="24"/>
        </w:rPr>
      </w:pPr>
    </w:p>
    <w:p w14:paraId="134494D0" w14:textId="77777777" w:rsidR="008B042A" w:rsidRDefault="008B042A" w:rsidP="00A44188">
      <w:pPr>
        <w:rPr>
          <w:rFonts w:cs="CMR12"/>
          <w:sz w:val="24"/>
          <w:szCs w:val="24"/>
        </w:rPr>
      </w:pPr>
    </w:p>
    <w:p w14:paraId="29C0BC99" w14:textId="48AAB23F" w:rsidR="00305B79" w:rsidRDefault="008B042A" w:rsidP="00A44188">
      <w:pPr>
        <w:rPr>
          <w:rFonts w:cs="CMR12"/>
          <w:sz w:val="24"/>
          <w:szCs w:val="24"/>
        </w:rPr>
      </w:pPr>
      <w:r>
        <w:rPr>
          <w:rFonts w:cs="CMR12"/>
          <w:sz w:val="24"/>
          <w:szCs w:val="24"/>
        </w:rPr>
        <w:lastRenderedPageBreak/>
        <w:t xml:space="preserve">Kaplan-Meier survival curves obtained from the mean curves of 100 test/train iterations of the </w:t>
      </w:r>
      <w:r w:rsidR="00305B79">
        <w:rPr>
          <w:rFonts w:cs="CMR12"/>
          <w:sz w:val="24"/>
          <w:szCs w:val="24"/>
        </w:rPr>
        <w:t xml:space="preserve">model </w:t>
      </w:r>
      <w:r>
        <w:rPr>
          <w:rFonts w:cs="CMR12"/>
          <w:sz w:val="24"/>
          <w:szCs w:val="24"/>
        </w:rPr>
        <w:t xml:space="preserve">show a clear </w:t>
      </w:r>
      <w:r w:rsidR="00305B79">
        <w:rPr>
          <w:rFonts w:cs="CMR12"/>
          <w:sz w:val="24"/>
          <w:szCs w:val="24"/>
        </w:rPr>
        <w:t xml:space="preserve">difference in survival </w:t>
      </w:r>
      <w:r>
        <w:rPr>
          <w:rFonts w:cs="CMR12"/>
          <w:sz w:val="24"/>
          <w:szCs w:val="24"/>
        </w:rPr>
        <w:t>between subsets of data defined by their IR signature.</w:t>
      </w:r>
    </w:p>
    <w:p w14:paraId="57850835" w14:textId="77777777" w:rsidR="008B042A" w:rsidRDefault="008B042A" w:rsidP="00A44188">
      <w:pPr>
        <w:rPr>
          <w:rFonts w:cs="CMR12"/>
          <w:sz w:val="24"/>
          <w:szCs w:val="24"/>
        </w:rPr>
      </w:pPr>
    </w:p>
    <w:p w14:paraId="133A8AEC" w14:textId="24EE92DE" w:rsidR="008B042A" w:rsidRPr="00A44188" w:rsidRDefault="008B042A" w:rsidP="00A44188">
      <w:pPr>
        <w:rPr>
          <w:rFonts w:cs="CMR12"/>
          <w:sz w:val="24"/>
          <w:szCs w:val="24"/>
        </w:rPr>
      </w:pPr>
      <w:r>
        <w:rPr>
          <w:rFonts w:cs="CMR12"/>
          <w:sz w:val="24"/>
          <w:szCs w:val="24"/>
        </w:rPr>
        <w:t>&lt;FIGURE 4&gt; (use an x-axis scale of perhaps 24 months max?)</w:t>
      </w:r>
    </w:p>
    <w:p w14:paraId="41103036" w14:textId="77777777" w:rsidR="00A44188" w:rsidRPr="00A44188" w:rsidRDefault="00A44188" w:rsidP="00A44188">
      <w:pPr>
        <w:autoSpaceDE w:val="0"/>
        <w:autoSpaceDN w:val="0"/>
        <w:adjustRightInd w:val="0"/>
        <w:spacing w:after="0" w:line="240" w:lineRule="auto"/>
        <w:rPr>
          <w:rFonts w:cs="CMR12"/>
          <w:sz w:val="24"/>
          <w:szCs w:val="24"/>
        </w:rPr>
      </w:pPr>
      <w:r w:rsidRPr="008B042A">
        <w:rPr>
          <w:rFonts w:cs="CMR12"/>
          <w:b/>
          <w:bCs/>
          <w:sz w:val="24"/>
          <w:szCs w:val="24"/>
        </w:rPr>
        <w:t>Figure 4</w:t>
      </w:r>
      <w:r w:rsidRPr="00A44188">
        <w:rPr>
          <w:rFonts w:cs="CMR12"/>
          <w:sz w:val="24"/>
          <w:szCs w:val="24"/>
        </w:rPr>
        <w:t>: Kaplan-Meier survival curves showing mean survival curves predicted</w:t>
      </w:r>
    </w:p>
    <w:p w14:paraId="251653F9" w14:textId="2598B39F" w:rsidR="00A44188" w:rsidRPr="00A44188" w:rsidRDefault="00A44188" w:rsidP="00A44188">
      <w:pPr>
        <w:autoSpaceDE w:val="0"/>
        <w:autoSpaceDN w:val="0"/>
        <w:adjustRightInd w:val="0"/>
        <w:spacing w:after="0" w:line="240" w:lineRule="auto"/>
        <w:rPr>
          <w:rFonts w:cs="CMR12"/>
          <w:sz w:val="24"/>
          <w:szCs w:val="24"/>
        </w:rPr>
      </w:pPr>
      <w:r w:rsidRPr="00A44188">
        <w:rPr>
          <w:rFonts w:cs="CMR12"/>
          <w:sz w:val="24"/>
          <w:szCs w:val="24"/>
        </w:rPr>
        <w:t xml:space="preserve">across all </w:t>
      </w:r>
      <w:r w:rsidR="008B042A">
        <w:rPr>
          <w:rFonts w:cs="CMR12"/>
          <w:sz w:val="24"/>
          <w:szCs w:val="24"/>
        </w:rPr>
        <w:t>test/train iterations</w:t>
      </w:r>
      <w:r w:rsidRPr="00A44188">
        <w:rPr>
          <w:rFonts w:cs="CMR12"/>
          <w:sz w:val="24"/>
          <w:szCs w:val="24"/>
        </w:rPr>
        <w:t xml:space="preserve">. </w:t>
      </w:r>
      <w:commentRangeStart w:id="3"/>
      <w:r w:rsidRPr="00A44188">
        <w:rPr>
          <w:rFonts w:cs="CMR12"/>
          <w:sz w:val="24"/>
          <w:szCs w:val="24"/>
        </w:rPr>
        <w:t xml:space="preserve">FTIR + ASMA (A), FTIR(B). </w:t>
      </w:r>
      <w:commentRangeEnd w:id="3"/>
      <w:r w:rsidR="008B042A">
        <w:rPr>
          <w:rStyle w:val="CommentReference"/>
        </w:rPr>
        <w:commentReference w:id="3"/>
      </w:r>
      <w:commentRangeStart w:id="4"/>
      <w:r w:rsidRPr="00A44188">
        <w:rPr>
          <w:rFonts w:cs="CMR12"/>
          <w:sz w:val="24"/>
          <w:szCs w:val="24"/>
        </w:rPr>
        <w:t>Survival</w:t>
      </w:r>
    </w:p>
    <w:p w14:paraId="64A02E74" w14:textId="77777777" w:rsidR="00A44188" w:rsidRPr="00A44188" w:rsidRDefault="00A44188" w:rsidP="00A44188">
      <w:pPr>
        <w:autoSpaceDE w:val="0"/>
        <w:autoSpaceDN w:val="0"/>
        <w:adjustRightInd w:val="0"/>
        <w:spacing w:after="0" w:line="240" w:lineRule="auto"/>
        <w:rPr>
          <w:rFonts w:cs="CMR12"/>
          <w:sz w:val="24"/>
          <w:szCs w:val="24"/>
        </w:rPr>
      </w:pPr>
      <w:r w:rsidRPr="00A44188">
        <w:rPr>
          <w:rFonts w:cs="CMR12"/>
          <w:sz w:val="24"/>
          <w:szCs w:val="24"/>
        </w:rPr>
        <w:t>curves shown in orange (blue) indicate patients predicted to have survived</w:t>
      </w:r>
    </w:p>
    <w:p w14:paraId="07DC23EE" w14:textId="09872664" w:rsidR="00A44188" w:rsidRPr="00A44188" w:rsidRDefault="00A44188" w:rsidP="00A44188">
      <w:pPr>
        <w:rPr>
          <w:rFonts w:cs="CMR12"/>
          <w:sz w:val="24"/>
          <w:szCs w:val="24"/>
        </w:rPr>
      </w:pPr>
      <w:r w:rsidRPr="00A44188">
        <w:rPr>
          <w:rFonts w:cs="CMR12"/>
          <w:sz w:val="24"/>
          <w:szCs w:val="24"/>
        </w:rPr>
        <w:t>beyond (within) one year</w:t>
      </w:r>
      <w:commentRangeEnd w:id="4"/>
      <w:r w:rsidR="008B042A">
        <w:rPr>
          <w:rStyle w:val="CommentReference"/>
        </w:rPr>
        <w:commentReference w:id="4"/>
      </w:r>
    </w:p>
    <w:p w14:paraId="20D883CD" w14:textId="2D450F2A" w:rsidR="00A44188" w:rsidRPr="00A44188" w:rsidRDefault="00A44188" w:rsidP="00A44188">
      <w:pPr>
        <w:rPr>
          <w:rFonts w:cs="CMR12"/>
          <w:sz w:val="24"/>
          <w:szCs w:val="24"/>
        </w:rPr>
      </w:pPr>
    </w:p>
    <w:p w14:paraId="05832AE0" w14:textId="77777777" w:rsidR="000A3A59" w:rsidRDefault="008B042A" w:rsidP="000A3A59">
      <w:pPr>
        <w:autoSpaceDE w:val="0"/>
        <w:autoSpaceDN w:val="0"/>
        <w:adjustRightInd w:val="0"/>
        <w:spacing w:after="0" w:line="240" w:lineRule="auto"/>
        <w:rPr>
          <w:rFonts w:cs="CMR12"/>
          <w:sz w:val="24"/>
          <w:szCs w:val="24"/>
        </w:rPr>
      </w:pPr>
      <w:r>
        <w:rPr>
          <w:rFonts w:cs="CMR12"/>
          <w:sz w:val="24"/>
          <w:szCs w:val="24"/>
        </w:rPr>
        <w:t>Furthemore, e</w:t>
      </w:r>
      <w:r w:rsidR="00A44188" w:rsidRPr="00A44188">
        <w:rPr>
          <w:rFonts w:cs="CMR12"/>
          <w:sz w:val="24"/>
          <w:szCs w:val="24"/>
        </w:rPr>
        <w:t xml:space="preserve">ach pair of survival curves for each </w:t>
      </w:r>
      <w:r>
        <w:rPr>
          <w:rFonts w:cs="CMR12"/>
          <w:sz w:val="24"/>
          <w:szCs w:val="24"/>
        </w:rPr>
        <w:t>train</w:t>
      </w:r>
      <w:r w:rsidR="000A3A59">
        <w:rPr>
          <w:rFonts w:cs="CMR12"/>
          <w:sz w:val="24"/>
          <w:szCs w:val="24"/>
        </w:rPr>
        <w:t>/test</w:t>
      </w:r>
      <w:r>
        <w:rPr>
          <w:rFonts w:cs="CMR12"/>
          <w:sz w:val="24"/>
          <w:szCs w:val="24"/>
        </w:rPr>
        <w:t xml:space="preserve"> iteration </w:t>
      </w:r>
      <w:r w:rsidR="00A44188" w:rsidRPr="00A44188">
        <w:rPr>
          <w:rFonts w:cs="CMR12"/>
          <w:sz w:val="24"/>
          <w:szCs w:val="24"/>
        </w:rPr>
        <w:t>was subject to a log-rank (Mantel-Cox) test to compare overall survival between</w:t>
      </w:r>
      <w:r>
        <w:rPr>
          <w:rFonts w:cs="CMR12"/>
          <w:sz w:val="24"/>
          <w:szCs w:val="24"/>
        </w:rPr>
        <w:t xml:space="preserve"> the </w:t>
      </w:r>
      <w:r w:rsidR="00A44188" w:rsidRPr="00A44188">
        <w:rPr>
          <w:rFonts w:cs="CMR12"/>
          <w:sz w:val="24"/>
          <w:szCs w:val="24"/>
        </w:rPr>
        <w:t>predicted outcomes. A</w:t>
      </w:r>
      <w:r>
        <w:rPr>
          <w:rFonts w:cs="CMR12"/>
          <w:sz w:val="24"/>
          <w:szCs w:val="24"/>
        </w:rPr>
        <w:t>t a</w:t>
      </w:r>
      <w:r w:rsidR="00A44188" w:rsidRPr="00A44188">
        <w:rPr>
          <w:rFonts w:cs="CMR12"/>
          <w:sz w:val="24"/>
          <w:szCs w:val="24"/>
        </w:rPr>
        <w:t xml:space="preserve">ll </w:t>
      </w:r>
      <w:r>
        <w:rPr>
          <w:rFonts w:cs="CMR12"/>
          <w:sz w:val="24"/>
          <w:szCs w:val="24"/>
        </w:rPr>
        <w:t xml:space="preserve">iterations, the test gave a significance of </w:t>
      </w:r>
      <w:r w:rsidR="00A44188" w:rsidRPr="00A44188">
        <w:rPr>
          <w:rFonts w:cs="CMMI12"/>
          <w:sz w:val="24"/>
          <w:szCs w:val="24"/>
        </w:rPr>
        <w:t xml:space="preserve">p &lt; </w:t>
      </w:r>
      <w:r w:rsidR="00A44188" w:rsidRPr="00A44188">
        <w:rPr>
          <w:rFonts w:cs="CMR12"/>
          <w:sz w:val="24"/>
          <w:szCs w:val="24"/>
        </w:rPr>
        <w:t>0</w:t>
      </w:r>
      <w:r w:rsidR="00A44188" w:rsidRPr="00A44188">
        <w:rPr>
          <w:rFonts w:cs="CMMI12"/>
          <w:sz w:val="24"/>
          <w:szCs w:val="24"/>
        </w:rPr>
        <w:t>:</w:t>
      </w:r>
      <w:r w:rsidR="00A44188" w:rsidRPr="00A44188">
        <w:rPr>
          <w:rFonts w:cs="CMR12"/>
          <w:sz w:val="24"/>
          <w:szCs w:val="24"/>
        </w:rPr>
        <w:t>00</w:t>
      </w:r>
      <w:r w:rsidR="000A3A59">
        <w:rPr>
          <w:rFonts w:cs="CMR12"/>
          <w:sz w:val="24"/>
          <w:szCs w:val="24"/>
        </w:rPr>
        <w:t>1, strengthening</w:t>
      </w:r>
      <w:r w:rsidR="000A3A59" w:rsidRPr="00A44188">
        <w:rPr>
          <w:rFonts w:cs="CMR12"/>
          <w:sz w:val="24"/>
          <w:szCs w:val="24"/>
        </w:rPr>
        <w:t xml:space="preserve"> </w:t>
      </w:r>
      <w:r w:rsidR="000A3A59">
        <w:rPr>
          <w:rFonts w:cs="CMR12"/>
          <w:sz w:val="24"/>
          <w:szCs w:val="24"/>
        </w:rPr>
        <w:t xml:space="preserve">the conclusion </w:t>
      </w:r>
      <w:r w:rsidR="00A44188" w:rsidRPr="00A44188">
        <w:rPr>
          <w:rFonts w:cs="CMR12"/>
          <w:sz w:val="24"/>
          <w:szCs w:val="24"/>
        </w:rPr>
        <w:t>that a</w:t>
      </w:r>
      <w:r w:rsidR="000A3A59">
        <w:rPr>
          <w:rFonts w:cs="CMR12"/>
          <w:sz w:val="24"/>
          <w:szCs w:val="24"/>
        </w:rPr>
        <w:t xml:space="preserve"> </w:t>
      </w:r>
      <w:r w:rsidR="00A44188" w:rsidRPr="00A44188">
        <w:rPr>
          <w:rFonts w:cs="CMR12"/>
          <w:sz w:val="24"/>
          <w:szCs w:val="24"/>
        </w:rPr>
        <w:t>d</w:t>
      </w:r>
      <w:r w:rsidR="000A3A59">
        <w:rPr>
          <w:rFonts w:cs="CMR12"/>
          <w:sz w:val="24"/>
          <w:szCs w:val="24"/>
        </w:rPr>
        <w:t>iff</w:t>
      </w:r>
      <w:r w:rsidR="00A44188" w:rsidRPr="00A44188">
        <w:rPr>
          <w:rFonts w:cs="CMR12"/>
          <w:sz w:val="24"/>
          <w:szCs w:val="24"/>
        </w:rPr>
        <w:t>erence between the two survival curves exists</w:t>
      </w:r>
      <w:r w:rsidR="000A3A59">
        <w:rPr>
          <w:rFonts w:cs="CMR12"/>
          <w:sz w:val="24"/>
          <w:szCs w:val="24"/>
        </w:rPr>
        <w:t>.</w:t>
      </w:r>
    </w:p>
    <w:p w14:paraId="57D8D8F6" w14:textId="77777777" w:rsidR="000A3A59" w:rsidRDefault="000A3A59" w:rsidP="000A3A59">
      <w:pPr>
        <w:autoSpaceDE w:val="0"/>
        <w:autoSpaceDN w:val="0"/>
        <w:adjustRightInd w:val="0"/>
        <w:spacing w:after="0" w:line="240" w:lineRule="auto"/>
        <w:rPr>
          <w:rFonts w:cs="CMR12"/>
          <w:sz w:val="24"/>
          <w:szCs w:val="24"/>
        </w:rPr>
      </w:pPr>
    </w:p>
    <w:p w14:paraId="4D6380DE" w14:textId="182022AF" w:rsidR="00A44188" w:rsidRPr="00A44188" w:rsidRDefault="000A3A59" w:rsidP="000A3A59">
      <w:pPr>
        <w:autoSpaceDE w:val="0"/>
        <w:autoSpaceDN w:val="0"/>
        <w:adjustRightInd w:val="0"/>
        <w:spacing w:after="0" w:line="240" w:lineRule="auto"/>
        <w:rPr>
          <w:sz w:val="24"/>
          <w:szCs w:val="24"/>
        </w:rPr>
      </w:pPr>
      <w:r>
        <w:rPr>
          <w:rFonts w:cs="CMR12"/>
          <w:color w:val="FF0000"/>
          <w:sz w:val="24"/>
          <w:szCs w:val="24"/>
        </w:rPr>
        <w:t>Add data analysis at the patient level.</w:t>
      </w:r>
      <w:r>
        <w:rPr>
          <w:rFonts w:cs="CMR12"/>
          <w:sz w:val="24"/>
          <w:szCs w:val="24"/>
        </w:rPr>
        <w:t xml:space="preserve"> </w:t>
      </w:r>
    </w:p>
    <w:sectPr w:rsidR="00A44188" w:rsidRPr="00A441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sk, Janet" w:date="2021-10-01T16:28:00Z" w:initials="RJ">
    <w:p w14:paraId="377C64AA" w14:textId="02A465DD" w:rsidR="00213F7E" w:rsidRDefault="00213F7E">
      <w:pPr>
        <w:pStyle w:val="CommentText"/>
      </w:pPr>
      <w:r>
        <w:rPr>
          <w:rStyle w:val="CommentReference"/>
        </w:rPr>
        <w:annotationRef/>
      </w:r>
      <w:r>
        <w:t>Conor, Is this what the PR curve is telling us?</w:t>
      </w:r>
    </w:p>
  </w:comment>
  <w:comment w:id="1" w:author="Risk, Janet" w:date="2021-10-01T16:40:00Z" w:initials="RJ">
    <w:p w14:paraId="3DD27972" w14:textId="1B664DB7" w:rsidR="004E7E83" w:rsidRDefault="004E7E83">
      <w:pPr>
        <w:pStyle w:val="CommentText"/>
      </w:pPr>
      <w:r>
        <w:rPr>
          <w:rStyle w:val="CommentReference"/>
        </w:rPr>
        <w:annotationRef/>
      </w:r>
      <w:r>
        <w:t>Conor, please add actual values)</w:t>
      </w:r>
    </w:p>
  </w:comment>
  <w:comment w:id="2" w:author="Risk, Janet" w:date="2021-10-01T16:38:00Z" w:initials="RJ">
    <w:p w14:paraId="61D68741" w14:textId="7537BE88" w:rsidR="00657777" w:rsidRDefault="00657777">
      <w:pPr>
        <w:pStyle w:val="CommentText"/>
      </w:pPr>
      <w:r>
        <w:rPr>
          <w:rStyle w:val="CommentReference"/>
        </w:rPr>
        <w:annotationRef/>
      </w:r>
      <w:r>
        <w:t>Conor, please check that this is true</w:t>
      </w:r>
    </w:p>
  </w:comment>
  <w:comment w:id="3" w:author="Risk, Janet" w:date="2021-10-01T16:58:00Z" w:initials="RJ">
    <w:p w14:paraId="6E2F907C" w14:textId="7CEAD640" w:rsidR="008B042A" w:rsidRDefault="008B042A">
      <w:pPr>
        <w:pStyle w:val="CommentText"/>
      </w:pPr>
      <w:r>
        <w:rPr>
          <w:rStyle w:val="CommentReference"/>
        </w:rPr>
        <w:annotationRef/>
      </w:r>
      <w:r>
        <w:t>Or place on a single graph if you decide not to show the standard deviation curves</w:t>
      </w:r>
    </w:p>
  </w:comment>
  <w:comment w:id="4" w:author="Risk, Janet" w:date="2021-10-01T16:56:00Z" w:initials="RJ">
    <w:p w14:paraId="5649CABF" w14:textId="06BE2C00" w:rsidR="008B042A" w:rsidRDefault="008B042A">
      <w:pPr>
        <w:pStyle w:val="CommentText"/>
      </w:pPr>
      <w:r>
        <w:rPr>
          <w:rStyle w:val="CommentReference"/>
        </w:rPr>
        <w:annotationRef/>
      </w:r>
      <w:r>
        <w:t>I would use a different colour combination a syou have used orange and blue in previous figures to distinguish between IR&amp;ASMA and  IR alone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7C64AA" w15:done="0"/>
  <w15:commentEx w15:paraId="3DD27972" w15:done="0"/>
  <w15:commentEx w15:paraId="61D68741" w15:done="0"/>
  <w15:commentEx w15:paraId="6E2F907C" w15:done="0"/>
  <w15:commentEx w15:paraId="5649CA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1B5BE" w16cex:dateUtc="2021-10-01T15:28:00Z"/>
  <w16cex:commentExtensible w16cex:durableId="2501B860" w16cex:dateUtc="2021-10-01T15:40:00Z"/>
  <w16cex:commentExtensible w16cex:durableId="2501B7F2" w16cex:dateUtc="2021-10-01T15:38:00Z"/>
  <w16cex:commentExtensible w16cex:durableId="2501BC99" w16cex:dateUtc="2021-10-01T15:58:00Z"/>
  <w16cex:commentExtensible w16cex:durableId="2501BC5B" w16cex:dateUtc="2021-10-01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7C64AA" w16cid:durableId="2501B5BE"/>
  <w16cid:commentId w16cid:paraId="3DD27972" w16cid:durableId="2501B860"/>
  <w16cid:commentId w16cid:paraId="61D68741" w16cid:durableId="2501B7F2"/>
  <w16cid:commentId w16cid:paraId="6E2F907C" w16cid:durableId="2501BC99"/>
  <w16cid:commentId w16cid:paraId="5649CABF" w16cid:durableId="2501BC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sk, Janet">
    <w15:presenceInfo w15:providerId="None" w15:userId="Risk, Ja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88"/>
    <w:rsid w:val="000A3A59"/>
    <w:rsid w:val="001B6224"/>
    <w:rsid w:val="001E4E1D"/>
    <w:rsid w:val="00213F7E"/>
    <w:rsid w:val="00305B79"/>
    <w:rsid w:val="00473C06"/>
    <w:rsid w:val="004E7E83"/>
    <w:rsid w:val="00657777"/>
    <w:rsid w:val="008B042A"/>
    <w:rsid w:val="00A44188"/>
    <w:rsid w:val="00C93DA8"/>
    <w:rsid w:val="00D80523"/>
    <w:rsid w:val="00E64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6A3D"/>
  <w15:chartTrackingRefBased/>
  <w15:docId w15:val="{35D69998-86BF-496A-B3B7-ADF06E11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3F7E"/>
    <w:rPr>
      <w:sz w:val="16"/>
      <w:szCs w:val="16"/>
    </w:rPr>
  </w:style>
  <w:style w:type="paragraph" w:styleId="CommentText">
    <w:name w:val="annotation text"/>
    <w:basedOn w:val="Normal"/>
    <w:link w:val="CommentTextChar"/>
    <w:uiPriority w:val="99"/>
    <w:semiHidden/>
    <w:unhideWhenUsed/>
    <w:rsid w:val="00213F7E"/>
    <w:pPr>
      <w:spacing w:line="240" w:lineRule="auto"/>
    </w:pPr>
    <w:rPr>
      <w:sz w:val="20"/>
      <w:szCs w:val="20"/>
    </w:rPr>
  </w:style>
  <w:style w:type="character" w:customStyle="1" w:styleId="CommentTextChar">
    <w:name w:val="Comment Text Char"/>
    <w:basedOn w:val="DefaultParagraphFont"/>
    <w:link w:val="CommentText"/>
    <w:uiPriority w:val="99"/>
    <w:semiHidden/>
    <w:rsid w:val="00213F7E"/>
    <w:rPr>
      <w:sz w:val="20"/>
      <w:szCs w:val="20"/>
    </w:rPr>
  </w:style>
  <w:style w:type="paragraph" w:styleId="CommentSubject">
    <w:name w:val="annotation subject"/>
    <w:basedOn w:val="CommentText"/>
    <w:next w:val="CommentText"/>
    <w:link w:val="CommentSubjectChar"/>
    <w:uiPriority w:val="99"/>
    <w:semiHidden/>
    <w:unhideWhenUsed/>
    <w:rsid w:val="00213F7E"/>
    <w:rPr>
      <w:b/>
      <w:bCs/>
    </w:rPr>
  </w:style>
  <w:style w:type="character" w:customStyle="1" w:styleId="CommentSubjectChar">
    <w:name w:val="Comment Subject Char"/>
    <w:basedOn w:val="CommentTextChar"/>
    <w:link w:val="CommentSubject"/>
    <w:uiPriority w:val="99"/>
    <w:semiHidden/>
    <w:rsid w:val="00213F7E"/>
    <w:rPr>
      <w:b/>
      <w:bCs/>
      <w:sz w:val="20"/>
      <w:szCs w:val="20"/>
    </w:rPr>
  </w:style>
  <w:style w:type="paragraph" w:styleId="BalloonText">
    <w:name w:val="Balloon Text"/>
    <w:basedOn w:val="Normal"/>
    <w:link w:val="BalloonTextChar"/>
    <w:uiPriority w:val="99"/>
    <w:semiHidden/>
    <w:unhideWhenUsed/>
    <w:rsid w:val="00213F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F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Janet</dc:creator>
  <cp:keywords/>
  <dc:description/>
  <cp:lastModifiedBy>conor whitley</cp:lastModifiedBy>
  <cp:revision>4</cp:revision>
  <dcterms:created xsi:type="dcterms:W3CDTF">2021-10-01T14:01:00Z</dcterms:created>
  <dcterms:modified xsi:type="dcterms:W3CDTF">2022-01-14T19:26:00Z</dcterms:modified>
</cp:coreProperties>
</file>