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F1750A1" w14:paraId="51CA22DC" wp14:textId="502035C0">
      <w:pPr>
        <w:pStyle w:val="Heading1"/>
      </w:pPr>
      <w:r w:rsidRPr="2F1750A1" w:rsidR="52D968B8">
        <w:rPr>
          <w:rFonts w:ascii="Work Sans" w:hAnsi="Work Sans" w:eastAsia="Work Sans" w:cs="Work Sans"/>
          <w:b w:val="1"/>
          <w:bCs w:val="1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Advierten que la cobertura de vacunación para prevenir la neumonía del adulto está muy lejos de la de los niños</w:t>
      </w:r>
    </w:p>
    <w:p xmlns:wp14="http://schemas.microsoft.com/office/word/2010/wordml" w:rsidP="2F1750A1" w14:paraId="0BC87B35" wp14:textId="492105CD">
      <w:pPr>
        <w:spacing w:line="372" w:lineRule="exact"/>
      </w:pPr>
      <w:r w:rsidRPr="2F1750A1" w:rsidR="52D968B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La </w:t>
      </w:r>
      <w:r w:rsidRPr="2F1750A1" w:rsidR="52D968B8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neumonía adquirida en la comunidad</w:t>
      </w:r>
      <w:r w:rsidRPr="2F1750A1" w:rsidR="52D968B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 (NAC) causada por el neumococo es una infección respiratoria que puede ser </w:t>
      </w:r>
      <w:r w:rsidRPr="2F1750A1" w:rsidR="52D968B8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grave y mortal</w:t>
      </w:r>
      <w:r w:rsidRPr="2F1750A1" w:rsidR="52D968B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, pero </w:t>
      </w:r>
      <w:r w:rsidRPr="2F1750A1" w:rsidR="52D968B8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prevenible con dos vacunas antineumocócicas </w:t>
      </w:r>
      <w:r w:rsidRPr="2F1750A1" w:rsidR="52D968B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aprobadas en España, frente a 13 y 23 serotipos de neumococo, a la que, en el futuro, podría añadirse otra vacuna, frente a 20 serotipos, que se encuentra en fase experimental.</w:t>
      </w:r>
    </w:p>
    <w:p xmlns:wp14="http://schemas.microsoft.com/office/word/2010/wordml" w:rsidP="2F1750A1" w14:paraId="09C32D95" wp14:textId="00752ED5">
      <w:pPr>
        <w:spacing w:line="372" w:lineRule="exact"/>
      </w:pPr>
      <w:r w:rsidRPr="2F1750A1" w:rsidR="52D968B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Sin embargo, la Sociedad Española de Neumología y Cirugía Torácica (SEPAR) advierte que la cobertura de vacunación antineumocócica conjugada en el adulto (&gt;65 años), del 22% según datos recientes, </w:t>
      </w:r>
      <w:r w:rsidRPr="2F1750A1" w:rsidR="52D968B8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dista mucho de la vacunación antineumocócica en los niños,</w:t>
      </w:r>
      <w:r w:rsidRPr="2F1750A1" w:rsidR="52D968B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 ya que es del 94,8%, según datos recientes, y pide a los adultos mayores de 65 años o mayores de 18 años en los que esté indicada por alto riesgo, </w:t>
      </w:r>
      <w:r w:rsidRPr="2F1750A1" w:rsidR="52D968B8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que acudan a vacunarse frente a esta enfermedad</w:t>
      </w:r>
      <w:r w:rsidRPr="2F1750A1" w:rsidR="52D968B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.</w:t>
      </w:r>
    </w:p>
    <w:p xmlns:wp14="http://schemas.microsoft.com/office/word/2010/wordml" w:rsidP="2F1750A1" w14:paraId="57CD5B02" wp14:textId="1518D2AC">
      <w:pPr>
        <w:spacing w:line="372" w:lineRule="exact"/>
      </w:pPr>
      <w:r w:rsidRPr="2F1750A1" w:rsidR="52D968B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SEPAR hace este llamamiento, con motivo del </w:t>
      </w:r>
      <w:r w:rsidRPr="2F1750A1" w:rsidR="52D968B8">
        <w:rPr>
          <w:rFonts w:ascii="Lato" w:hAnsi="Lato" w:eastAsia="Lato" w:cs="Lato"/>
          <w:b w:val="1"/>
          <w:bCs w:val="1"/>
          <w:i w:val="1"/>
          <w:iCs w:val="1"/>
          <w:caps w:val="0"/>
          <w:smallCaps w:val="0"/>
          <w:noProof w:val="0"/>
          <w:color w:val="222222"/>
          <w:sz w:val="24"/>
          <w:szCs w:val="24"/>
          <w:lang w:val="es-ES"/>
        </w:rPr>
        <w:t>Día Mundial de la Neumonía</w:t>
      </w:r>
      <w:r w:rsidRPr="2F1750A1" w:rsidR="52D968B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, que se celebró el viernes, 12 de noviembre. “</w:t>
      </w:r>
      <w:r w:rsidRPr="2F1750A1" w:rsidR="52D968B8">
        <w:rPr>
          <w:rFonts w:ascii="Lato" w:hAnsi="Lato" w:eastAsia="Lato" w:cs="Lato"/>
          <w:b w:val="0"/>
          <w:bCs w:val="0"/>
          <w:i w:val="1"/>
          <w:iCs w:val="1"/>
          <w:caps w:val="0"/>
          <w:smallCaps w:val="0"/>
          <w:noProof w:val="0"/>
          <w:color w:val="222222"/>
          <w:sz w:val="24"/>
          <w:szCs w:val="24"/>
          <w:lang w:val="es-ES"/>
        </w:rPr>
        <w:t>Es fundamental que los adultos y, en particular, los mayores de 65 años tomen conciencia de la importancia de vacunarse frente a la neumonía, que puede ser grave e, incluso, mortal, ya que disponemos de vacunas para evitar esta infección respiratoria y sus graves consecuencias. La cobertura de vacunación antineumocócica en el adulto, del 22%, todavía está muy lejos de alcanzar a la infantil, que ya es del 94,8%, es decir, de casi toda la población infantil</w:t>
      </w:r>
      <w:r w:rsidRPr="2F1750A1" w:rsidR="52D968B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”, explica la Dra. Rosario Menéndez, neumóloga y directora del PII (Proyecto de Investigación Integrado) de Neumonía de SEPAR.</w:t>
      </w:r>
    </w:p>
    <w:p xmlns:wp14="http://schemas.microsoft.com/office/word/2010/wordml" w:rsidP="2F1750A1" w14:paraId="06ABA74B" wp14:textId="4492C536">
      <w:pPr>
        <w:spacing w:line="372" w:lineRule="exact"/>
      </w:pPr>
      <w:r w:rsidRPr="2F1750A1" w:rsidR="52D968B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La NAC sigue siendo una </w:t>
      </w:r>
      <w:r w:rsidRPr="2F1750A1" w:rsidR="52D968B8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causa importante de morbilidad y mortalidad </w:t>
      </w:r>
      <w:r w:rsidRPr="2F1750A1" w:rsidR="52D968B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en todo el mundo. Afecta principalmente a adultos de 65 años o más, con </w:t>
      </w:r>
      <w:r w:rsidRPr="2F1750A1" w:rsidR="52D968B8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mayor riesgo en pacientes inmunodeprimidos y a personas con comorbilidades</w:t>
      </w:r>
      <w:r w:rsidRPr="2F1750A1" w:rsidR="52D968B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, como enfermedades respiratorias crónicas, enfermedades crónicas del corazón, tabaquismo, diabetes o ingesta elevada de alcohol.</w:t>
      </w:r>
    </w:p>
    <w:p xmlns:wp14="http://schemas.microsoft.com/office/word/2010/wordml" w:rsidP="2F1750A1" w14:paraId="7FE6A041" wp14:textId="733FEE9A">
      <w:pPr>
        <w:spacing w:line="372" w:lineRule="exact"/>
      </w:pPr>
      <w:r w:rsidRPr="2F1750A1" w:rsidR="52D968B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La neumonía puede estar causada por </w:t>
      </w:r>
      <w:r w:rsidRPr="2F1750A1" w:rsidR="52D968B8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distintos patógenos</w:t>
      </w:r>
      <w:r w:rsidRPr="2F1750A1" w:rsidR="52D968B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, uno de los cuales es una bacteria, el neumococo (Streptococcus pneumoniae), aunque también puede </w:t>
      </w:r>
      <w:r w:rsidRPr="2F1750A1" w:rsidR="52D968B8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estar causada por virus</w:t>
      </w:r>
      <w:r w:rsidRPr="2F1750A1" w:rsidR="52D968B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 (como el SARS-CoV-2) </w:t>
      </w:r>
      <w:r w:rsidRPr="2F1750A1" w:rsidR="52D968B8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y hongos</w:t>
      </w:r>
      <w:r w:rsidRPr="2F1750A1" w:rsidR="52D968B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. Existen distintos</w:t>
      </w:r>
      <w:r w:rsidRPr="2F1750A1" w:rsidR="52D968B8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 tipos de neumonía</w:t>
      </w:r>
      <w:r w:rsidRPr="2F1750A1" w:rsidR="52D968B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, también causadas por el neumococo. En los adultos, </w:t>
      </w:r>
      <w:r w:rsidRPr="2F1750A1" w:rsidR="52D968B8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la neumonía neumocócica no invasiva es responsable de la mayoría de las NAC</w:t>
      </w:r>
      <w:r w:rsidRPr="2F1750A1" w:rsidR="52D968B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, mientras que la neumonía invasiva representa menos del 10% de los casos.</w:t>
      </w:r>
    </w:p>
    <w:p xmlns:wp14="http://schemas.microsoft.com/office/word/2010/wordml" w:rsidP="2F1750A1" w14:paraId="54E7BC54" wp14:textId="2516BC32">
      <w:pPr>
        <w:spacing w:line="372" w:lineRule="exact"/>
      </w:pPr>
      <w:r w:rsidRPr="2F1750A1" w:rsidR="52D968B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En los últimos años se han desarrollado vacunas para </w:t>
      </w:r>
      <w:r w:rsidRPr="2F1750A1" w:rsidR="52D968B8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prevenir las infecciones neumocócicas, para inmunizar frente a varios serotipos del neumococo</w:t>
      </w:r>
      <w:r w:rsidRPr="2F1750A1" w:rsidR="52D968B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. En España, se han introducido las vacunas antineumocócicas conjugadas (PVC), que han demostrado una eficacia sustancial en la reducción de los neumococos.</w:t>
      </w:r>
    </w:p>
    <w:p xmlns:wp14="http://schemas.microsoft.com/office/word/2010/wordml" w:rsidP="2F1750A1" w14:paraId="49B66925" wp14:textId="62ACE324">
      <w:pPr>
        <w:spacing w:line="372" w:lineRule="exact"/>
      </w:pPr>
      <w:r w:rsidRPr="2F1750A1" w:rsidR="52D968B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Por un lado, </w:t>
      </w:r>
      <w:r w:rsidRPr="2F1750A1" w:rsidR="52D968B8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la vacuna PCV-13 valente </w:t>
      </w:r>
      <w:r w:rsidRPr="2F1750A1" w:rsidR="52D968B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(PVC-3) que incluye 13 serotipos (1, 3, 4, 5, 6A, 6B, 7F, 9V, 14, 18C, 19F, 19A y 23F) se introdujo en el año 2010 para </w:t>
      </w:r>
      <w:r w:rsidRPr="2F1750A1" w:rsidR="52D968B8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inmunizar a niños sanos</w:t>
      </w:r>
      <w:r w:rsidRPr="2F1750A1" w:rsidR="52D968B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, aunque principalmente estaba accesible en el entorno de la sanidad privada, hasta que Madrid en 2010 y Galicia en 2011 la incorporaron a su</w:t>
      </w:r>
      <w:r w:rsidRPr="2F1750A1" w:rsidR="52D968B8">
        <w:rPr>
          <w:rFonts w:ascii="Lato" w:hAnsi="Lato" w:eastAsia="Lato" w:cs="Lato"/>
          <w:b w:val="1"/>
          <w:bCs w:val="1"/>
          <w:i w:val="1"/>
          <w:iCs w:val="1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 Plan de Inmunización Infantil</w:t>
      </w:r>
      <w:r w:rsidRPr="2F1750A1" w:rsidR="52D968B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 (PIN), financiado con fondos públicos. Posteriormente, en los años 2015 y 2016 estos PIN se han extendido y en 2018 la cobertura de la vacunación antineumocócica con esta vacuna trecevalente alcanzó el 94,8% de la población infantil en España.</w:t>
      </w:r>
    </w:p>
    <w:p xmlns:wp14="http://schemas.microsoft.com/office/word/2010/wordml" w:rsidP="2F1750A1" w14:paraId="2C16401B" wp14:textId="19CD7294">
      <w:pPr>
        <w:spacing w:line="372" w:lineRule="exact"/>
      </w:pPr>
      <w:r w:rsidRPr="2F1750A1" w:rsidR="52D968B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Para los adultos, la política actual de vacunación recomienda </w:t>
      </w:r>
      <w:r w:rsidRPr="2F1750A1" w:rsidR="52D968B8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la PCV13</w:t>
      </w:r>
      <w:r w:rsidRPr="2F1750A1" w:rsidR="52D968B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 </w:t>
      </w:r>
      <w:r w:rsidRPr="2F1750A1" w:rsidR="52D968B8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seguida de la vacuna 23-valente</w:t>
      </w:r>
      <w:r w:rsidRPr="2F1750A1" w:rsidR="52D968B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 </w:t>
      </w:r>
      <w:r w:rsidRPr="2F1750A1" w:rsidR="52D968B8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polisacárido neumocócico</w:t>
      </w:r>
      <w:r w:rsidRPr="2F1750A1" w:rsidR="52D968B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 (PPV23), destinada a adultos de alto riesgo o inmunodeprimidos y en menores de 65 años únicamente la PCV13. En 2016-2019 ha habido seis autonomías (Madrid, Galicia, Castilla y León, La Rioja, Asturias y Andalucía) que han incluido en sus programas de vacunación la PCV13 para adultos mayores de 18 años que están en riesgo y para adultos mayores de 60 a 65 años.</w:t>
      </w:r>
    </w:p>
    <w:p xmlns:wp14="http://schemas.microsoft.com/office/word/2010/wordml" w:rsidP="2F1750A1" w14:paraId="07174FA3" wp14:textId="3B733677">
      <w:pPr>
        <w:spacing w:line="372" w:lineRule="exact"/>
      </w:pPr>
      <w:r w:rsidRPr="2F1750A1" w:rsidR="52D968B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Hasta ahora, con las vacunas infantiles se ha conseguido </w:t>
      </w:r>
      <w:r w:rsidRPr="2F1750A1" w:rsidR="52D968B8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proteger de forma directa a la población infantil frente a la neumonía </w:t>
      </w:r>
      <w:r w:rsidRPr="2F1750A1" w:rsidR="52D968B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e, indirectamente, a la población adulta. Sin embargo, estudios recientes han mostrado</w:t>
      </w:r>
      <w:r w:rsidRPr="2F1750A1" w:rsidR="52D968B8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 un estancamiento de esta protección indirecta a los adultos</w:t>
      </w:r>
      <w:r w:rsidRPr="2F1750A1" w:rsidR="52D968B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 y, por lo tanto, la aparición de casos de neumonías, de determinados serotipos, en los adultos. Por ello, para prevenir la neumonía en los adultos puede ser </w:t>
      </w:r>
      <w:r w:rsidRPr="2F1750A1" w:rsidR="52D968B8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mejor estrategia potenciar la vacunación directa del adulto</w:t>
      </w:r>
      <w:r w:rsidRPr="2F1750A1" w:rsidR="52D968B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.</w:t>
      </w:r>
    </w:p>
    <w:p xmlns:wp14="http://schemas.microsoft.com/office/word/2010/wordml" w:rsidP="2F1750A1" w14:paraId="5A305D97" wp14:textId="6371A12D">
      <w:pPr>
        <w:spacing w:line="372" w:lineRule="exact"/>
      </w:pPr>
      <w:r w:rsidRPr="2F1750A1" w:rsidR="52D968B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Se ha efectuado un </w:t>
      </w:r>
      <w:r w:rsidRPr="2F1750A1" w:rsidR="52D968B8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análisis observacional de la evolución de los resultados de la vacuna trecevalente</w:t>
      </w:r>
      <w:r w:rsidRPr="2F1750A1" w:rsidR="52D968B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 (PCV-13) en España en los últimos años, en más de 3.100 adultos inmunocompetentes hospitalizados por NAC, de los cuales más de 1.900 tenían más de 65 años y 2.700 tenían condiciones subyacentes que favorecerían el riesgo de desarrollar NAC. Las </w:t>
      </w:r>
      <w:r w:rsidRPr="2F1750A1" w:rsidR="52D968B8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nuevas vacunas conjugadas </w:t>
      </w:r>
      <w:r w:rsidRPr="2F1750A1" w:rsidR="52D968B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incorporan la cobertura de más serotipos como la PCV-15 y para el próximo año estará disponible </w:t>
      </w:r>
      <w:r w:rsidRPr="2F1750A1" w:rsidR="52D968B8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la vacuna antineumocócica para 20 serotipos de neumococo</w:t>
      </w:r>
      <w:r w:rsidRPr="2F1750A1" w:rsidR="52D968B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, la PCV20-VT (que incluiría los serotipos de la PCV13 + los serotipos 8, 10A, 11A, 12F, 15B, 22F, 33F).</w:t>
      </w:r>
    </w:p>
    <w:p xmlns:wp14="http://schemas.microsoft.com/office/word/2010/wordml" w:rsidP="2F1750A1" w14:paraId="3C82CA66" wp14:textId="68C8569C">
      <w:pPr>
        <w:spacing w:line="372" w:lineRule="exact"/>
      </w:pPr>
      <w:r w:rsidRPr="2F1750A1" w:rsidR="52D968B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Se ha visto que, entre todos los participantes, 895 (28,8%) tenían NAC neumocócica y 439 (14,1%) tenían NAC por serotipos incluidos en la vacuna PCV13 y, entre los incluidos en 2016-2018, 243 (23,8%) tenían NAC causada por los serotipos incluidos en la PCV20-VT. En los casos con neumonía neumocócica, </w:t>
      </w:r>
      <w:r w:rsidRPr="2F1750A1" w:rsidR="52D968B8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los serotipos más identificados fueron el 3 y el 8.</w:t>
      </w:r>
    </w:p>
    <w:p xmlns:wp14="http://schemas.microsoft.com/office/word/2010/wordml" w:rsidP="2F1750A1" w14:paraId="3F383867" wp14:textId="5E63FA86">
      <w:pPr>
        <w:spacing w:line="372" w:lineRule="exact"/>
      </w:pPr>
      <w:r w:rsidRPr="2F1750A1" w:rsidR="52D968B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Este análisis ha encontrado que, ocho años después de haber introducido la PCV13 para vacunar a la población infantil, esta vacuna</w:t>
      </w:r>
      <w:r w:rsidRPr="2F1750A1" w:rsidR="52D968B8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 no ha impedido que se registren casos de neumonía en adultos</w:t>
      </w:r>
      <w:r w:rsidRPr="2F1750A1" w:rsidR="52D968B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 con un buen sistema de defensas (inmunocompetentes). Señala que hay que </w:t>
      </w:r>
      <w:r w:rsidRPr="2F1750A1" w:rsidR="52D968B8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mejorar la cobertura directa de PCV13 </w:t>
      </w:r>
      <w:r w:rsidRPr="2F1750A1" w:rsidR="52D968B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de las poblaciones adultas específicas para reducir aún más la NAC neumocócica entre los adultos, un beneficio que </w:t>
      </w:r>
      <w:r w:rsidRPr="2F1750A1" w:rsidR="52D968B8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podría incrementarse aún más si se aprueba e implementa la vacuna en estudio</w:t>
      </w:r>
      <w:r w:rsidRPr="2F1750A1" w:rsidR="52D968B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, PCV20, ya que protege frente a más serotipos, como el 8, no incluido en la vacuna trecevalente.</w:t>
      </w:r>
    </w:p>
    <w:p xmlns:wp14="http://schemas.microsoft.com/office/word/2010/wordml" w:rsidP="2F1750A1" w14:paraId="4ED06D9B" wp14:textId="23948EC9">
      <w:pPr>
        <w:spacing w:line="372" w:lineRule="exact"/>
      </w:pPr>
      <w:r w:rsidRPr="2F1750A1" w:rsidR="52D968B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“</w:t>
      </w:r>
      <w:r w:rsidRPr="2F1750A1" w:rsidR="52D968B8">
        <w:rPr>
          <w:rFonts w:ascii="Lato" w:hAnsi="Lato" w:eastAsia="Lato" w:cs="Lato"/>
          <w:b w:val="0"/>
          <w:bCs w:val="0"/>
          <w:i w:val="1"/>
          <w:iCs w:val="1"/>
          <w:caps w:val="0"/>
          <w:smallCaps w:val="0"/>
          <w:noProof w:val="0"/>
          <w:color w:val="222222"/>
          <w:sz w:val="24"/>
          <w:szCs w:val="24"/>
          <w:lang w:val="es-ES"/>
        </w:rPr>
        <w:t>Es importante mejorar la cobertura directa de la vacuna antineumocócica trecevalente. Necesitamos que se vacune el mayor número posible de adultos frente a la neumonía neumocócica. Además, las nuevas vacunas PCV15 y sobre todo si se aprueba la nueva vacuna PCV20 que protege frente a veinte serotipos ampliarán la protección frente a esta bacteria</w:t>
      </w:r>
      <w:r w:rsidRPr="2F1750A1" w:rsidR="52D968B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”, afirma la Dra. Menéndez.</w:t>
      </w:r>
    </w:p>
    <w:p xmlns:wp14="http://schemas.microsoft.com/office/word/2010/wordml" w:rsidP="2F1750A1" w14:paraId="5C1A07E2" wp14:textId="5F5BD3D0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86A518"/>
    <w:rsid w:val="2F1750A1"/>
    <w:rsid w:val="52D968B8"/>
    <w:rsid w:val="5E86A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6A518"/>
  <w15:chartTrackingRefBased/>
  <w15:docId w15:val="{103C27FA-D845-4A30-B0E1-8C27DBA199A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2021-11-16T12:53:15.0569319Z</dcterms:created>
  <dcterms:modified xsi:type="dcterms:W3CDTF">2021-11-16T12:53:48.9771981Z</dcterms:modified>
  <dc:creator>CARLOS YANGUAS DURAN</dc:creator>
  <lastModifiedBy>CARLOS YANGUAS DURAN</lastModifiedBy>
</coreProperties>
</file>