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933" w:rsidRPr="002A3933" w:rsidRDefault="002A3933" w:rsidP="002A393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bookmarkStart w:id="0" w:name="_GoBack"/>
      <w:r w:rsidRPr="002A3933">
        <w:rPr>
          <w:rFonts w:ascii="Times New Roman" w:eastAsia="Times New Roman" w:hAnsi="Times New Roman" w:cs="Times New Roman"/>
          <w:b/>
          <w:bCs/>
          <w:kern w:val="36"/>
          <w:sz w:val="48"/>
          <w:szCs w:val="48"/>
          <w:lang w:eastAsia="es-ES"/>
        </w:rPr>
        <w:t xml:space="preserve">Cuenta atrás para vacunar contra el </w:t>
      </w:r>
      <w:proofErr w:type="spellStart"/>
      <w:r w:rsidRPr="002A3933">
        <w:rPr>
          <w:rFonts w:ascii="Times New Roman" w:eastAsia="Times New Roman" w:hAnsi="Times New Roman" w:cs="Times New Roman"/>
          <w:b/>
          <w:bCs/>
          <w:kern w:val="36"/>
          <w:sz w:val="48"/>
          <w:szCs w:val="48"/>
          <w:lang w:eastAsia="es-ES"/>
        </w:rPr>
        <w:t>Covid</w:t>
      </w:r>
      <w:proofErr w:type="spellEnd"/>
      <w:r w:rsidRPr="002A3933">
        <w:rPr>
          <w:rFonts w:ascii="Times New Roman" w:eastAsia="Times New Roman" w:hAnsi="Times New Roman" w:cs="Times New Roman"/>
          <w:b/>
          <w:bCs/>
          <w:kern w:val="36"/>
          <w:sz w:val="48"/>
          <w:szCs w:val="48"/>
          <w:lang w:eastAsia="es-ES"/>
        </w:rPr>
        <w:t xml:space="preserve"> a menores de 12 años</w:t>
      </w:r>
    </w:p>
    <w:p w:rsidR="002A3933" w:rsidRPr="002A3933" w:rsidRDefault="002A3933" w:rsidP="002A39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A3933">
        <w:rPr>
          <w:rFonts w:ascii="Times New Roman" w:eastAsia="Times New Roman" w:hAnsi="Times New Roman" w:cs="Times New Roman"/>
          <w:sz w:val="24"/>
          <w:szCs w:val="24"/>
          <w:lang w:eastAsia="es-ES"/>
        </w:rPr>
        <w:t xml:space="preserve">La decisión de inmunizar a los más pequeños contra el </w:t>
      </w:r>
      <w:proofErr w:type="spellStart"/>
      <w:r w:rsidRPr="002A3933">
        <w:rPr>
          <w:rFonts w:ascii="Times New Roman" w:eastAsia="Times New Roman" w:hAnsi="Times New Roman" w:cs="Times New Roman"/>
          <w:sz w:val="24"/>
          <w:szCs w:val="24"/>
          <w:lang w:eastAsia="es-ES"/>
        </w:rPr>
        <w:t>Covid</w:t>
      </w:r>
      <w:proofErr w:type="spellEnd"/>
      <w:r w:rsidRPr="002A3933">
        <w:rPr>
          <w:rFonts w:ascii="Times New Roman" w:eastAsia="Times New Roman" w:hAnsi="Times New Roman" w:cs="Times New Roman"/>
          <w:sz w:val="24"/>
          <w:szCs w:val="24"/>
          <w:lang w:eastAsia="es-ES"/>
        </w:rPr>
        <w:t xml:space="preserve"> no sólo depende de la Agencia Europea del Medicamento, que evalúa su seguridad y eficacia</w:t>
      </w:r>
    </w:p>
    <w:p w:rsidR="002A3933" w:rsidRPr="002A3933" w:rsidRDefault="002A3933" w:rsidP="002A39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A3933">
        <w:rPr>
          <w:rFonts w:ascii="Times New Roman" w:eastAsia="Times New Roman" w:hAnsi="Times New Roman" w:cs="Times New Roman"/>
          <w:sz w:val="24"/>
          <w:szCs w:val="24"/>
          <w:lang w:eastAsia="es-ES"/>
        </w:rPr>
        <w:t xml:space="preserve">La Agencia Europea del Medicamento (EMA) debe pronunciarse próximamente sobre la seguridad de las </w:t>
      </w:r>
      <w:r w:rsidRPr="002A3933">
        <w:rPr>
          <w:rFonts w:ascii="Times New Roman" w:eastAsia="Times New Roman" w:hAnsi="Times New Roman" w:cs="Times New Roman"/>
          <w:b/>
          <w:bCs/>
          <w:sz w:val="24"/>
          <w:szCs w:val="24"/>
          <w:lang w:eastAsia="es-ES"/>
        </w:rPr>
        <w:t xml:space="preserve">vacunas </w:t>
      </w:r>
      <w:r w:rsidRPr="002A3933">
        <w:rPr>
          <w:rFonts w:ascii="Times New Roman" w:eastAsia="Times New Roman" w:hAnsi="Times New Roman" w:cs="Times New Roman"/>
          <w:sz w:val="24"/>
          <w:szCs w:val="24"/>
          <w:lang w:eastAsia="es-ES"/>
        </w:rPr>
        <w:t xml:space="preserve">de ARN mensajero en </w:t>
      </w:r>
      <w:r w:rsidRPr="002A3933">
        <w:rPr>
          <w:rFonts w:ascii="Times New Roman" w:eastAsia="Times New Roman" w:hAnsi="Times New Roman" w:cs="Times New Roman"/>
          <w:b/>
          <w:bCs/>
          <w:sz w:val="24"/>
          <w:szCs w:val="24"/>
          <w:lang w:eastAsia="es-ES"/>
        </w:rPr>
        <w:t>niños</w:t>
      </w:r>
      <w:r w:rsidRPr="002A3933">
        <w:rPr>
          <w:rFonts w:ascii="Times New Roman" w:eastAsia="Times New Roman" w:hAnsi="Times New Roman" w:cs="Times New Roman"/>
          <w:sz w:val="24"/>
          <w:szCs w:val="24"/>
          <w:lang w:eastAsia="es-ES"/>
        </w:rPr>
        <w:t>. En estos momentos, está evaluando la de Pfizer-</w:t>
      </w:r>
      <w:proofErr w:type="spellStart"/>
      <w:r w:rsidRPr="002A3933">
        <w:rPr>
          <w:rFonts w:ascii="Times New Roman" w:eastAsia="Times New Roman" w:hAnsi="Times New Roman" w:cs="Times New Roman"/>
          <w:sz w:val="24"/>
          <w:szCs w:val="24"/>
          <w:lang w:eastAsia="es-ES"/>
        </w:rPr>
        <w:t>BioNTech</w:t>
      </w:r>
      <w:proofErr w:type="spellEnd"/>
      <w:r w:rsidRPr="002A3933">
        <w:rPr>
          <w:rFonts w:ascii="Times New Roman" w:eastAsia="Times New Roman" w:hAnsi="Times New Roman" w:cs="Times New Roman"/>
          <w:sz w:val="24"/>
          <w:szCs w:val="24"/>
          <w:lang w:eastAsia="es-ES"/>
        </w:rPr>
        <w:t xml:space="preserve">, </w:t>
      </w:r>
      <w:proofErr w:type="spellStart"/>
      <w:r w:rsidRPr="002A3933">
        <w:rPr>
          <w:rFonts w:ascii="Times New Roman" w:eastAsia="Times New Roman" w:hAnsi="Times New Roman" w:cs="Times New Roman"/>
          <w:i/>
          <w:iCs/>
          <w:sz w:val="24"/>
          <w:szCs w:val="24"/>
          <w:lang w:eastAsia="es-ES"/>
        </w:rPr>
        <w:t>Comirnaty</w:t>
      </w:r>
      <w:proofErr w:type="spellEnd"/>
      <w:r w:rsidRPr="002A3933">
        <w:rPr>
          <w:rFonts w:ascii="Times New Roman" w:eastAsia="Times New Roman" w:hAnsi="Times New Roman" w:cs="Times New Roman"/>
          <w:sz w:val="24"/>
          <w:szCs w:val="24"/>
          <w:lang w:eastAsia="es-ES"/>
        </w:rPr>
        <w:t xml:space="preserve">, para pequeños de </w:t>
      </w:r>
      <w:r w:rsidRPr="002A3933">
        <w:rPr>
          <w:rFonts w:ascii="Times New Roman" w:eastAsia="Times New Roman" w:hAnsi="Times New Roman" w:cs="Times New Roman"/>
          <w:b/>
          <w:bCs/>
          <w:sz w:val="24"/>
          <w:szCs w:val="24"/>
          <w:lang w:eastAsia="es-ES"/>
        </w:rPr>
        <w:t>entre 5 y 12 años</w:t>
      </w:r>
      <w:r w:rsidRPr="002A3933">
        <w:rPr>
          <w:rFonts w:ascii="Times New Roman" w:eastAsia="Times New Roman" w:hAnsi="Times New Roman" w:cs="Times New Roman"/>
          <w:sz w:val="24"/>
          <w:szCs w:val="24"/>
          <w:lang w:eastAsia="es-ES"/>
        </w:rPr>
        <w:t xml:space="preserve">, y la de Moderna, </w:t>
      </w:r>
      <w:proofErr w:type="spellStart"/>
      <w:r w:rsidRPr="002A3933">
        <w:rPr>
          <w:rFonts w:ascii="Times New Roman" w:eastAsia="Times New Roman" w:hAnsi="Times New Roman" w:cs="Times New Roman"/>
          <w:i/>
          <w:iCs/>
          <w:sz w:val="24"/>
          <w:szCs w:val="24"/>
          <w:lang w:eastAsia="es-ES"/>
        </w:rPr>
        <w:t>Spikevax</w:t>
      </w:r>
      <w:proofErr w:type="spellEnd"/>
      <w:r w:rsidRPr="002A3933">
        <w:rPr>
          <w:rFonts w:ascii="Times New Roman" w:eastAsia="Times New Roman" w:hAnsi="Times New Roman" w:cs="Times New Roman"/>
          <w:sz w:val="24"/>
          <w:szCs w:val="24"/>
          <w:lang w:eastAsia="es-ES"/>
        </w:rPr>
        <w:t xml:space="preserve">, para los de entre 6 y 12 años. Con el informe de la EMA, </w:t>
      </w:r>
      <w:r w:rsidRPr="002A3933">
        <w:rPr>
          <w:rFonts w:ascii="Times New Roman" w:eastAsia="Times New Roman" w:hAnsi="Times New Roman" w:cs="Times New Roman"/>
          <w:b/>
          <w:bCs/>
          <w:sz w:val="24"/>
          <w:szCs w:val="24"/>
          <w:lang w:eastAsia="es-ES"/>
        </w:rPr>
        <w:t>el Ministerio de Sanidad decidirá si empieza a vacunar, cómo y el cuándo</w:t>
      </w:r>
      <w:r w:rsidRPr="002A3933">
        <w:rPr>
          <w:rFonts w:ascii="Times New Roman" w:eastAsia="Times New Roman" w:hAnsi="Times New Roman" w:cs="Times New Roman"/>
          <w:sz w:val="24"/>
          <w:szCs w:val="24"/>
          <w:lang w:eastAsia="es-ES"/>
        </w:rPr>
        <w:t xml:space="preserve"> en acuerdo con las comunidades autónomas y, si es posible, en sintonía con el resto de países de la Unión Europea. Y, antes, tiene que haber dosis suficientes.</w:t>
      </w:r>
    </w:p>
    <w:p w:rsidR="002A3933" w:rsidRPr="002A3933" w:rsidRDefault="002A3933" w:rsidP="002A39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A3933">
        <w:rPr>
          <w:rFonts w:ascii="Times New Roman" w:eastAsia="Times New Roman" w:hAnsi="Times New Roman" w:cs="Times New Roman"/>
          <w:b/>
          <w:bCs/>
          <w:sz w:val="24"/>
          <w:szCs w:val="24"/>
          <w:lang w:eastAsia="es-ES"/>
        </w:rPr>
        <w:t xml:space="preserve">La coordinadora de la estrategia de vacunación del Ministerio de Sanidad, Aurora </w:t>
      </w:r>
      <w:proofErr w:type="spellStart"/>
      <w:r w:rsidRPr="002A3933">
        <w:rPr>
          <w:rFonts w:ascii="Times New Roman" w:eastAsia="Times New Roman" w:hAnsi="Times New Roman" w:cs="Times New Roman"/>
          <w:b/>
          <w:bCs/>
          <w:sz w:val="24"/>
          <w:szCs w:val="24"/>
          <w:lang w:eastAsia="es-ES"/>
        </w:rPr>
        <w:t>Limia</w:t>
      </w:r>
      <w:proofErr w:type="spellEnd"/>
      <w:r w:rsidRPr="002A3933">
        <w:rPr>
          <w:rFonts w:ascii="Times New Roman" w:eastAsia="Times New Roman" w:hAnsi="Times New Roman" w:cs="Times New Roman"/>
          <w:b/>
          <w:bCs/>
          <w:sz w:val="24"/>
          <w:szCs w:val="24"/>
          <w:lang w:eastAsia="es-ES"/>
        </w:rPr>
        <w:t>,</w:t>
      </w:r>
      <w:r w:rsidRPr="002A3933">
        <w:rPr>
          <w:rFonts w:ascii="Times New Roman" w:eastAsia="Times New Roman" w:hAnsi="Times New Roman" w:cs="Times New Roman"/>
          <w:sz w:val="24"/>
          <w:szCs w:val="24"/>
          <w:lang w:eastAsia="es-ES"/>
        </w:rPr>
        <w:t xml:space="preserve"> lo explicaba así esta semana: "La vacunación en menores de 12 años todavía no se ha autorizado por parte de la Comisión Europea. La EMA se posicionará y dará una opinión, entendemos que este mes de noviembre [será sobre la de Pfizer, primero]. Pero, otra cosa es </w:t>
      </w:r>
      <w:r w:rsidRPr="002A3933">
        <w:rPr>
          <w:rFonts w:ascii="Times New Roman" w:eastAsia="Times New Roman" w:hAnsi="Times New Roman" w:cs="Times New Roman"/>
          <w:b/>
          <w:bCs/>
          <w:sz w:val="24"/>
          <w:szCs w:val="24"/>
          <w:lang w:eastAsia="es-ES"/>
        </w:rPr>
        <w:t>cuándo habrá dosis de vacunas disponibles para comenzar esa inmunización".</w:t>
      </w:r>
    </w:p>
    <w:p w:rsidR="002A3933" w:rsidRPr="002A3933" w:rsidRDefault="002A3933" w:rsidP="002A39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A3933">
        <w:rPr>
          <w:rFonts w:ascii="Times New Roman" w:eastAsia="Times New Roman" w:hAnsi="Times New Roman" w:cs="Times New Roman"/>
          <w:sz w:val="24"/>
          <w:szCs w:val="24"/>
          <w:lang w:eastAsia="es-ES"/>
        </w:rPr>
        <w:t>"La última información que tengo es que</w:t>
      </w:r>
      <w:r w:rsidRPr="002A3933">
        <w:rPr>
          <w:rFonts w:ascii="Times New Roman" w:eastAsia="Times New Roman" w:hAnsi="Times New Roman" w:cs="Times New Roman"/>
          <w:b/>
          <w:bCs/>
          <w:sz w:val="24"/>
          <w:szCs w:val="24"/>
          <w:lang w:eastAsia="es-ES"/>
        </w:rPr>
        <w:t xml:space="preserve"> al menos hasta finales de año o principios del que viene no habrá dosis disponibles</w:t>
      </w:r>
      <w:r w:rsidRPr="002A3933">
        <w:rPr>
          <w:rFonts w:ascii="Times New Roman" w:eastAsia="Times New Roman" w:hAnsi="Times New Roman" w:cs="Times New Roman"/>
          <w:sz w:val="24"/>
          <w:szCs w:val="24"/>
          <w:lang w:eastAsia="es-ES"/>
        </w:rPr>
        <w:t>. O sea, que independientemente de la autorización de la EMA, habrá tiempo para tomar una decisión en este sentido".</w:t>
      </w:r>
    </w:p>
    <w:p w:rsidR="002A3933" w:rsidRPr="002A3933" w:rsidRDefault="002A3933" w:rsidP="002A39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A3933">
        <w:rPr>
          <w:rFonts w:ascii="Times New Roman" w:eastAsia="Times New Roman" w:hAnsi="Times New Roman" w:cs="Times New Roman"/>
          <w:sz w:val="24"/>
          <w:szCs w:val="24"/>
          <w:lang w:eastAsia="es-ES"/>
        </w:rPr>
        <w:t xml:space="preserve">Y es que, la coordinadora de la Estrategia de Vacunación del Ministerio de Sanidad aclara que, además del informe de la EMA que evalúe el riesgo de, por ejemplo, las miocarditis detectadas en vacunados contra el </w:t>
      </w:r>
      <w:proofErr w:type="spellStart"/>
      <w:r w:rsidRPr="002A3933">
        <w:rPr>
          <w:rFonts w:ascii="Times New Roman" w:eastAsia="Times New Roman" w:hAnsi="Times New Roman" w:cs="Times New Roman"/>
          <w:sz w:val="24"/>
          <w:szCs w:val="24"/>
          <w:lang w:eastAsia="es-ES"/>
        </w:rPr>
        <w:t>Covid</w:t>
      </w:r>
      <w:proofErr w:type="spellEnd"/>
      <w:r w:rsidRPr="002A3933">
        <w:rPr>
          <w:rFonts w:ascii="Times New Roman" w:eastAsia="Times New Roman" w:hAnsi="Times New Roman" w:cs="Times New Roman"/>
          <w:sz w:val="24"/>
          <w:szCs w:val="24"/>
          <w:lang w:eastAsia="es-ES"/>
        </w:rPr>
        <w:t xml:space="preserve"> de entre 15 y 20 años, hay otros factores de los que depende comenzar la inmunización en niños. </w:t>
      </w:r>
      <w:r w:rsidRPr="002A3933">
        <w:rPr>
          <w:rFonts w:ascii="Times New Roman" w:eastAsia="Times New Roman" w:hAnsi="Times New Roman" w:cs="Times New Roman"/>
          <w:b/>
          <w:bCs/>
          <w:sz w:val="24"/>
          <w:szCs w:val="24"/>
          <w:lang w:eastAsia="es-ES"/>
        </w:rPr>
        <w:t xml:space="preserve">"Hay que saber qué papel juegan los niños y niñas en la transmisión del SARS-CoV-2 </w:t>
      </w:r>
      <w:r w:rsidRPr="002A3933">
        <w:rPr>
          <w:rFonts w:ascii="Times New Roman" w:eastAsia="Times New Roman" w:hAnsi="Times New Roman" w:cs="Times New Roman"/>
          <w:sz w:val="24"/>
          <w:szCs w:val="24"/>
          <w:lang w:eastAsia="es-ES"/>
        </w:rPr>
        <w:t xml:space="preserve">y qué beneficio obtiene ese grupo de población por la vacunación. En definitiva, ponderar riesgos y beneficios. Cuando conozcamos todos estos elementos tomaremos una decisión. Y, a la vez, estamos en contacto con el resto de comités y asesores de vacunación de la UE para ir todos en el mismo sentido, aunque no siempre se consigue", apunta </w:t>
      </w:r>
      <w:proofErr w:type="spellStart"/>
      <w:r w:rsidRPr="002A3933">
        <w:rPr>
          <w:rFonts w:ascii="Times New Roman" w:eastAsia="Times New Roman" w:hAnsi="Times New Roman" w:cs="Times New Roman"/>
          <w:sz w:val="24"/>
          <w:szCs w:val="24"/>
          <w:lang w:eastAsia="es-ES"/>
        </w:rPr>
        <w:t>Limia</w:t>
      </w:r>
      <w:proofErr w:type="spellEnd"/>
      <w:r w:rsidRPr="002A3933">
        <w:rPr>
          <w:rFonts w:ascii="Times New Roman" w:eastAsia="Times New Roman" w:hAnsi="Times New Roman" w:cs="Times New Roman"/>
          <w:sz w:val="24"/>
          <w:szCs w:val="24"/>
          <w:lang w:eastAsia="es-ES"/>
        </w:rPr>
        <w:t xml:space="preserve"> a este diario.</w:t>
      </w:r>
    </w:p>
    <w:p w:rsidR="002A3933" w:rsidRPr="002A3933" w:rsidRDefault="002A3933" w:rsidP="002A39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A3933">
        <w:rPr>
          <w:rFonts w:ascii="Times New Roman" w:eastAsia="Times New Roman" w:hAnsi="Times New Roman" w:cs="Times New Roman"/>
          <w:sz w:val="24"/>
          <w:szCs w:val="24"/>
          <w:lang w:eastAsia="es-ES"/>
        </w:rPr>
        <w:t>Dentro de la ponencia de la estrategia de vacunación del Ministerio de Sanidad hay un grupo específico que lleva trabajando desde antes de verano en la posibilidad de inmunizar a los niños entre 5 y 12 años,</w:t>
      </w:r>
      <w:r w:rsidRPr="002A3933">
        <w:rPr>
          <w:rFonts w:ascii="Times New Roman" w:eastAsia="Times New Roman" w:hAnsi="Times New Roman" w:cs="Times New Roman"/>
          <w:b/>
          <w:bCs/>
          <w:sz w:val="24"/>
          <w:szCs w:val="24"/>
          <w:lang w:eastAsia="es-ES"/>
        </w:rPr>
        <w:t xml:space="preserve"> un paso que ya han dado otros países como Estados Unidos</w:t>
      </w:r>
      <w:r w:rsidRPr="002A3933">
        <w:rPr>
          <w:rFonts w:ascii="Times New Roman" w:eastAsia="Times New Roman" w:hAnsi="Times New Roman" w:cs="Times New Roman"/>
          <w:sz w:val="24"/>
          <w:szCs w:val="24"/>
          <w:lang w:eastAsia="es-ES"/>
        </w:rPr>
        <w:t xml:space="preserve">. Además, esta semana Pfizer y </w:t>
      </w:r>
      <w:proofErr w:type="spellStart"/>
      <w:r w:rsidRPr="002A3933">
        <w:rPr>
          <w:rFonts w:ascii="Times New Roman" w:eastAsia="Times New Roman" w:hAnsi="Times New Roman" w:cs="Times New Roman"/>
          <w:sz w:val="24"/>
          <w:szCs w:val="24"/>
          <w:lang w:eastAsia="es-ES"/>
        </w:rPr>
        <w:t>BioNTech</w:t>
      </w:r>
      <w:proofErr w:type="spellEnd"/>
      <w:r w:rsidRPr="002A3933">
        <w:rPr>
          <w:rFonts w:ascii="Times New Roman" w:eastAsia="Times New Roman" w:hAnsi="Times New Roman" w:cs="Times New Roman"/>
          <w:sz w:val="24"/>
          <w:szCs w:val="24"/>
          <w:lang w:eastAsia="es-ES"/>
        </w:rPr>
        <w:t xml:space="preserve"> ha anunciado los </w:t>
      </w:r>
      <w:hyperlink r:id="rId5" w:history="1">
        <w:proofErr w:type="spellStart"/>
        <w:r w:rsidRPr="002A3933">
          <w:rPr>
            <w:rFonts w:ascii="Times New Roman" w:eastAsia="Times New Roman" w:hAnsi="Times New Roman" w:cs="Times New Roman"/>
            <w:color w:val="0000FF"/>
            <w:sz w:val="24"/>
            <w:szCs w:val="24"/>
            <w:u w:val="single"/>
            <w:lang w:eastAsia="es-ES"/>
          </w:rPr>
          <w:t>resultadospositivos</w:t>
        </w:r>
        <w:proofErr w:type="spellEnd"/>
        <w:r w:rsidRPr="002A3933">
          <w:rPr>
            <w:rFonts w:ascii="Times New Roman" w:eastAsia="Times New Roman" w:hAnsi="Times New Roman" w:cs="Times New Roman"/>
            <w:color w:val="0000FF"/>
            <w:sz w:val="24"/>
            <w:szCs w:val="24"/>
            <w:u w:val="single"/>
            <w:lang w:eastAsia="es-ES"/>
          </w:rPr>
          <w:t xml:space="preserve"> de su ensayo en fase I/III con su vacuna en 2.268 niños</w:t>
        </w:r>
      </w:hyperlink>
      <w:r w:rsidRPr="002A3933">
        <w:rPr>
          <w:rFonts w:ascii="Times New Roman" w:eastAsia="Times New Roman" w:hAnsi="Times New Roman" w:cs="Times New Roman"/>
          <w:sz w:val="24"/>
          <w:szCs w:val="24"/>
          <w:lang w:eastAsia="es-ES"/>
        </w:rPr>
        <w:t xml:space="preserve"> de 5 a 11 años con dos dosis: perfil de seguridad favorable y respuestas solidas de anticuerpos neutralizantes.</w:t>
      </w:r>
    </w:p>
    <w:p w:rsidR="00FF698F" w:rsidRPr="00FF698F" w:rsidRDefault="002A3933" w:rsidP="002A393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A3933">
        <w:rPr>
          <w:rFonts w:ascii="Times New Roman" w:eastAsia="Times New Roman" w:hAnsi="Times New Roman" w:cs="Times New Roman"/>
          <w:sz w:val="24"/>
          <w:szCs w:val="24"/>
          <w:lang w:eastAsia="es-ES"/>
        </w:rPr>
        <w:t>Es indudable que estos resultados de la</w:t>
      </w:r>
      <w:r w:rsidRPr="002A3933">
        <w:rPr>
          <w:rFonts w:ascii="Times New Roman" w:eastAsia="Times New Roman" w:hAnsi="Times New Roman" w:cs="Times New Roman"/>
          <w:i/>
          <w:iCs/>
          <w:sz w:val="24"/>
          <w:szCs w:val="24"/>
          <w:lang w:eastAsia="es-ES"/>
        </w:rPr>
        <w:t xml:space="preserve"> </w:t>
      </w:r>
      <w:proofErr w:type="spellStart"/>
      <w:r w:rsidRPr="002A3933">
        <w:rPr>
          <w:rFonts w:ascii="Times New Roman" w:eastAsia="Times New Roman" w:hAnsi="Times New Roman" w:cs="Times New Roman"/>
          <w:i/>
          <w:iCs/>
          <w:sz w:val="24"/>
          <w:szCs w:val="24"/>
          <w:lang w:eastAsia="es-ES"/>
        </w:rPr>
        <w:t>Cominarty</w:t>
      </w:r>
      <w:proofErr w:type="spellEnd"/>
      <w:r w:rsidRPr="002A3933">
        <w:rPr>
          <w:rFonts w:ascii="Times New Roman" w:eastAsia="Times New Roman" w:hAnsi="Times New Roman" w:cs="Times New Roman"/>
          <w:i/>
          <w:iCs/>
          <w:sz w:val="24"/>
          <w:szCs w:val="24"/>
          <w:lang w:eastAsia="es-ES"/>
        </w:rPr>
        <w:t>,</w:t>
      </w:r>
      <w:r w:rsidRPr="002A3933">
        <w:rPr>
          <w:rFonts w:ascii="Times New Roman" w:eastAsia="Times New Roman" w:hAnsi="Times New Roman" w:cs="Times New Roman"/>
          <w:sz w:val="24"/>
          <w:szCs w:val="24"/>
          <w:lang w:eastAsia="es-ES"/>
        </w:rPr>
        <w:t xml:space="preserve"> anunciados por Pfizer ha allanado el camino hacia ese proceso de inmunización de los menores que, además, cuenta ya con un razonamiento bioético favorable.</w:t>
      </w:r>
      <w:bookmarkEnd w:id="0"/>
    </w:p>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6"/>
  </w:num>
  <w:num w:numId="4">
    <w:abstractNumId w:val="24"/>
  </w:num>
  <w:num w:numId="5">
    <w:abstractNumId w:val="0"/>
  </w:num>
  <w:num w:numId="6">
    <w:abstractNumId w:val="2"/>
  </w:num>
  <w:num w:numId="7">
    <w:abstractNumId w:val="5"/>
  </w:num>
  <w:num w:numId="8">
    <w:abstractNumId w:val="13"/>
  </w:num>
  <w:num w:numId="9">
    <w:abstractNumId w:val="26"/>
  </w:num>
  <w:num w:numId="10">
    <w:abstractNumId w:val="21"/>
  </w:num>
  <w:num w:numId="11">
    <w:abstractNumId w:val="23"/>
  </w:num>
  <w:num w:numId="12">
    <w:abstractNumId w:val="14"/>
  </w:num>
  <w:num w:numId="13">
    <w:abstractNumId w:val="4"/>
  </w:num>
  <w:num w:numId="14">
    <w:abstractNumId w:val="8"/>
  </w:num>
  <w:num w:numId="15">
    <w:abstractNumId w:val="18"/>
  </w:num>
  <w:num w:numId="16">
    <w:abstractNumId w:val="6"/>
  </w:num>
  <w:num w:numId="17">
    <w:abstractNumId w:val="9"/>
  </w:num>
  <w:num w:numId="18">
    <w:abstractNumId w:val="22"/>
  </w:num>
  <w:num w:numId="19">
    <w:abstractNumId w:val="3"/>
  </w:num>
  <w:num w:numId="20">
    <w:abstractNumId w:val="19"/>
  </w:num>
  <w:num w:numId="21">
    <w:abstractNumId w:val="1"/>
  </w:num>
  <w:num w:numId="22">
    <w:abstractNumId w:val="25"/>
  </w:num>
  <w:num w:numId="23">
    <w:abstractNumId w:val="20"/>
  </w:num>
  <w:num w:numId="24">
    <w:abstractNumId w:val="11"/>
  </w:num>
  <w:num w:numId="25">
    <w:abstractNumId w:val="10"/>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1B5E3F"/>
    <w:rsid w:val="002A3933"/>
    <w:rsid w:val="00684BDA"/>
    <w:rsid w:val="009E4478"/>
    <w:rsid w:val="00AE5D60"/>
    <w:rsid w:val="00B20111"/>
    <w:rsid w:val="00B55537"/>
    <w:rsid w:val="00DB2E19"/>
    <w:rsid w:val="00E63AB7"/>
    <w:rsid w:val="00E82A36"/>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mundo.es/ciencia-y-salud/salud/2021/11/10/618b9803fdddff331b8b45b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2021-11-15T10:24:00Z</dcterms:created>
  <dcterms:modified xsi:type="dcterms:W3CDTF">2021-11-15T10:24:00Z</dcterms:modified>
</cp:coreProperties>
</file>