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21729" w14:textId="77777777" w:rsidR="00744957" w:rsidRPr="008A494F" w:rsidRDefault="0027127C" w:rsidP="008A494F">
      <w:pPr>
        <w:pStyle w:val="a9"/>
        <w:snapToGrid w:val="0"/>
        <w:spacing w:line="360" w:lineRule="auto"/>
        <w:ind w:firstLineChars="0" w:firstLine="0"/>
        <w:rPr>
          <w:rFonts w:asciiTheme="minorEastAsia" w:eastAsiaTheme="minorEastAsia" w:hAnsiTheme="minorEastAsia"/>
        </w:rPr>
      </w:pPr>
      <w:r w:rsidRPr="008A494F">
        <w:rPr>
          <w:rFonts w:asciiTheme="minorEastAsia" w:eastAsiaTheme="minorEastAsia" w:hAnsiTheme="minorEastAsia"/>
        </w:rPr>
        <w:t>广东省各区/县生鲜电商表现分析</w:t>
      </w:r>
    </w:p>
    <w:p w14:paraId="7E0A7393" w14:textId="0B6C4DDE" w:rsidR="00A42E8B" w:rsidRDefault="00A42E8B" w:rsidP="00A42E8B">
      <w:pPr>
        <w:snapToGrid w:val="0"/>
        <w:spacing w:before="60" w:after="60"/>
        <w:ind w:firstLineChars="0" w:firstLine="0"/>
        <w:jc w:val="left"/>
        <w:rPr>
          <w:rFonts w:asciiTheme="minorEastAsia" w:hAnsiTheme="minorEastAsia"/>
          <w:color w:val="333333"/>
          <w:sz w:val="22"/>
        </w:rPr>
      </w:pPr>
    </w:p>
    <w:p w14:paraId="54F40641" w14:textId="30A0C5D4" w:rsidR="008A494F" w:rsidRDefault="008A494F" w:rsidP="00A42E8B">
      <w:pPr>
        <w:snapToGrid w:val="0"/>
        <w:spacing w:before="60" w:after="60"/>
        <w:ind w:firstLineChars="0" w:firstLine="0"/>
        <w:jc w:val="left"/>
        <w:rPr>
          <w:rFonts w:asciiTheme="minorEastAsia" w:hAnsiTheme="minorEastAsia"/>
          <w:color w:val="333333"/>
          <w:sz w:val="22"/>
        </w:rPr>
      </w:pPr>
    </w:p>
    <w:p w14:paraId="22D2242B" w14:textId="72C24A67" w:rsidR="008A494F" w:rsidRDefault="008A494F" w:rsidP="00A42E8B">
      <w:pPr>
        <w:snapToGrid w:val="0"/>
        <w:spacing w:before="60" w:after="60"/>
        <w:ind w:firstLineChars="0" w:firstLine="0"/>
        <w:jc w:val="left"/>
        <w:rPr>
          <w:rFonts w:asciiTheme="minorEastAsia" w:hAnsiTheme="minorEastAsia"/>
          <w:color w:val="333333"/>
          <w:sz w:val="22"/>
        </w:rPr>
      </w:pPr>
    </w:p>
    <w:p w14:paraId="22AD47E2" w14:textId="6CAB6352" w:rsidR="008A494F" w:rsidRDefault="008A494F" w:rsidP="00A42E8B">
      <w:pPr>
        <w:snapToGrid w:val="0"/>
        <w:spacing w:before="60" w:after="60"/>
        <w:ind w:firstLineChars="0" w:firstLine="0"/>
        <w:jc w:val="left"/>
        <w:rPr>
          <w:rFonts w:asciiTheme="minorEastAsia" w:hAnsiTheme="minorEastAsia"/>
          <w:color w:val="333333"/>
          <w:sz w:val="22"/>
        </w:rPr>
      </w:pPr>
    </w:p>
    <w:p w14:paraId="060E1FCD" w14:textId="66E6BB3C" w:rsidR="008A494F" w:rsidRDefault="008A494F" w:rsidP="00A42E8B">
      <w:pPr>
        <w:snapToGrid w:val="0"/>
        <w:spacing w:before="60" w:after="60"/>
        <w:ind w:firstLineChars="0" w:firstLine="0"/>
        <w:jc w:val="left"/>
        <w:rPr>
          <w:rFonts w:asciiTheme="minorEastAsia" w:hAnsiTheme="minorEastAsia"/>
          <w:color w:val="333333"/>
          <w:sz w:val="22"/>
        </w:rPr>
      </w:pPr>
    </w:p>
    <w:p w14:paraId="3CA9DCBE" w14:textId="5B8626BC" w:rsidR="008A494F" w:rsidRDefault="008A494F" w:rsidP="00A42E8B">
      <w:pPr>
        <w:snapToGrid w:val="0"/>
        <w:spacing w:before="60" w:after="60"/>
        <w:ind w:firstLineChars="0" w:firstLine="0"/>
        <w:jc w:val="left"/>
        <w:rPr>
          <w:rFonts w:asciiTheme="minorEastAsia" w:hAnsiTheme="minorEastAsia"/>
          <w:color w:val="333333"/>
          <w:sz w:val="22"/>
        </w:rPr>
      </w:pPr>
    </w:p>
    <w:p w14:paraId="4488DF9A" w14:textId="51F6E099" w:rsidR="008A494F" w:rsidRDefault="008A494F" w:rsidP="00A42E8B">
      <w:pPr>
        <w:snapToGrid w:val="0"/>
        <w:spacing w:before="60" w:after="60"/>
        <w:ind w:firstLineChars="0" w:firstLine="0"/>
        <w:jc w:val="left"/>
        <w:rPr>
          <w:rFonts w:asciiTheme="minorEastAsia" w:hAnsiTheme="minorEastAsia"/>
          <w:color w:val="333333"/>
          <w:sz w:val="22"/>
        </w:rPr>
      </w:pPr>
    </w:p>
    <w:p w14:paraId="07133CA1" w14:textId="0809A750" w:rsidR="008A494F" w:rsidRDefault="008A494F" w:rsidP="00A42E8B">
      <w:pPr>
        <w:snapToGrid w:val="0"/>
        <w:spacing w:before="60" w:after="60"/>
        <w:ind w:firstLineChars="0" w:firstLine="0"/>
        <w:jc w:val="left"/>
        <w:rPr>
          <w:rFonts w:asciiTheme="minorEastAsia" w:hAnsiTheme="minorEastAsia"/>
          <w:color w:val="333333"/>
          <w:sz w:val="22"/>
        </w:rPr>
      </w:pPr>
    </w:p>
    <w:p w14:paraId="75644BBA" w14:textId="23BA0A18" w:rsidR="008A494F" w:rsidRDefault="008A494F" w:rsidP="00A42E8B">
      <w:pPr>
        <w:snapToGrid w:val="0"/>
        <w:spacing w:before="60" w:after="60"/>
        <w:ind w:firstLineChars="0" w:firstLine="0"/>
        <w:jc w:val="left"/>
        <w:rPr>
          <w:rFonts w:asciiTheme="minorEastAsia" w:hAnsiTheme="minorEastAsia"/>
          <w:color w:val="333333"/>
          <w:sz w:val="22"/>
        </w:rPr>
      </w:pPr>
    </w:p>
    <w:p w14:paraId="3322075F" w14:textId="3B819A62" w:rsidR="008A494F" w:rsidRDefault="008A494F" w:rsidP="00A42E8B">
      <w:pPr>
        <w:snapToGrid w:val="0"/>
        <w:spacing w:before="60" w:after="60"/>
        <w:ind w:firstLineChars="0" w:firstLine="0"/>
        <w:jc w:val="left"/>
        <w:rPr>
          <w:rFonts w:asciiTheme="minorEastAsia" w:hAnsiTheme="minorEastAsia"/>
          <w:color w:val="333333"/>
          <w:sz w:val="22"/>
        </w:rPr>
      </w:pPr>
    </w:p>
    <w:p w14:paraId="760C7764" w14:textId="574D36B5" w:rsidR="008A494F" w:rsidRDefault="008A494F" w:rsidP="00A42E8B">
      <w:pPr>
        <w:snapToGrid w:val="0"/>
        <w:spacing w:before="60" w:after="60"/>
        <w:ind w:firstLineChars="0" w:firstLine="0"/>
        <w:jc w:val="left"/>
        <w:rPr>
          <w:rFonts w:asciiTheme="minorEastAsia" w:hAnsiTheme="minorEastAsia"/>
          <w:color w:val="333333"/>
          <w:sz w:val="22"/>
        </w:rPr>
      </w:pPr>
    </w:p>
    <w:p w14:paraId="48388F80" w14:textId="3CE601DC" w:rsidR="008A494F" w:rsidRDefault="008A494F" w:rsidP="00A42E8B">
      <w:pPr>
        <w:snapToGrid w:val="0"/>
        <w:spacing w:before="60" w:after="60"/>
        <w:ind w:firstLineChars="0" w:firstLine="0"/>
        <w:jc w:val="left"/>
        <w:rPr>
          <w:rFonts w:asciiTheme="minorEastAsia" w:hAnsiTheme="minorEastAsia"/>
          <w:color w:val="333333"/>
          <w:sz w:val="22"/>
        </w:rPr>
      </w:pPr>
    </w:p>
    <w:p w14:paraId="5EE21F06" w14:textId="23CD1BAC" w:rsidR="008A494F" w:rsidRDefault="008A494F" w:rsidP="00A42E8B">
      <w:pPr>
        <w:snapToGrid w:val="0"/>
        <w:spacing w:before="60" w:after="60"/>
        <w:ind w:firstLineChars="0" w:firstLine="0"/>
        <w:jc w:val="left"/>
        <w:rPr>
          <w:rFonts w:asciiTheme="minorEastAsia" w:hAnsiTheme="minorEastAsia"/>
          <w:color w:val="333333"/>
          <w:sz w:val="22"/>
        </w:rPr>
      </w:pPr>
    </w:p>
    <w:p w14:paraId="0EAB5DF2" w14:textId="5F3FB2D4" w:rsidR="008A494F" w:rsidRDefault="008A494F" w:rsidP="00A42E8B">
      <w:pPr>
        <w:snapToGrid w:val="0"/>
        <w:spacing w:before="60" w:after="60"/>
        <w:ind w:firstLineChars="0" w:firstLine="0"/>
        <w:jc w:val="left"/>
        <w:rPr>
          <w:rFonts w:asciiTheme="minorEastAsia" w:hAnsiTheme="minorEastAsia"/>
          <w:color w:val="333333"/>
          <w:sz w:val="22"/>
        </w:rPr>
      </w:pPr>
    </w:p>
    <w:p w14:paraId="29BC4569" w14:textId="36BF912E" w:rsidR="008A494F" w:rsidRDefault="008A494F" w:rsidP="00A42E8B">
      <w:pPr>
        <w:snapToGrid w:val="0"/>
        <w:spacing w:before="60" w:after="60"/>
        <w:ind w:firstLineChars="0" w:firstLine="0"/>
        <w:jc w:val="left"/>
        <w:rPr>
          <w:rFonts w:asciiTheme="minorEastAsia" w:hAnsiTheme="minorEastAsia"/>
          <w:color w:val="333333"/>
          <w:sz w:val="22"/>
        </w:rPr>
      </w:pPr>
    </w:p>
    <w:p w14:paraId="6E3168DA" w14:textId="7890568C" w:rsidR="008A494F" w:rsidRDefault="008A494F" w:rsidP="00A42E8B">
      <w:pPr>
        <w:snapToGrid w:val="0"/>
        <w:spacing w:before="60" w:after="60"/>
        <w:ind w:firstLineChars="0" w:firstLine="0"/>
        <w:jc w:val="left"/>
        <w:rPr>
          <w:rFonts w:asciiTheme="minorEastAsia" w:hAnsiTheme="minorEastAsia"/>
          <w:color w:val="333333"/>
          <w:sz w:val="22"/>
        </w:rPr>
      </w:pPr>
    </w:p>
    <w:p w14:paraId="545533AA" w14:textId="63ABF5DE" w:rsidR="008A494F" w:rsidRDefault="008A494F" w:rsidP="00A42E8B">
      <w:pPr>
        <w:snapToGrid w:val="0"/>
        <w:spacing w:before="60" w:after="60"/>
        <w:ind w:firstLineChars="0" w:firstLine="0"/>
        <w:jc w:val="left"/>
        <w:rPr>
          <w:rFonts w:asciiTheme="minorEastAsia" w:hAnsiTheme="minorEastAsia"/>
          <w:color w:val="333333"/>
          <w:sz w:val="22"/>
        </w:rPr>
      </w:pPr>
    </w:p>
    <w:p w14:paraId="5704422E" w14:textId="596BB434" w:rsidR="008A494F" w:rsidRDefault="008A494F" w:rsidP="00A42E8B">
      <w:pPr>
        <w:snapToGrid w:val="0"/>
        <w:spacing w:before="60" w:after="60"/>
        <w:ind w:firstLineChars="0" w:firstLine="0"/>
        <w:jc w:val="left"/>
        <w:rPr>
          <w:rFonts w:asciiTheme="minorEastAsia" w:hAnsiTheme="minorEastAsia"/>
          <w:color w:val="333333"/>
          <w:sz w:val="22"/>
        </w:rPr>
      </w:pPr>
    </w:p>
    <w:p w14:paraId="13ED1266" w14:textId="08E78EED" w:rsidR="008A494F" w:rsidRDefault="008A494F" w:rsidP="00A42E8B">
      <w:pPr>
        <w:snapToGrid w:val="0"/>
        <w:spacing w:before="60" w:after="60"/>
        <w:ind w:firstLineChars="0" w:firstLine="0"/>
        <w:jc w:val="left"/>
        <w:rPr>
          <w:rFonts w:asciiTheme="minorEastAsia" w:hAnsiTheme="minorEastAsia"/>
          <w:color w:val="333333"/>
          <w:sz w:val="22"/>
        </w:rPr>
      </w:pPr>
    </w:p>
    <w:p w14:paraId="3662D298" w14:textId="0835E96A" w:rsidR="008A494F" w:rsidRDefault="008A494F" w:rsidP="00A42E8B">
      <w:pPr>
        <w:snapToGrid w:val="0"/>
        <w:spacing w:before="60" w:after="60"/>
        <w:ind w:firstLineChars="0" w:firstLine="0"/>
        <w:jc w:val="left"/>
        <w:rPr>
          <w:rFonts w:asciiTheme="minorEastAsia" w:hAnsiTheme="minorEastAsia"/>
          <w:color w:val="333333"/>
          <w:sz w:val="22"/>
        </w:rPr>
      </w:pPr>
    </w:p>
    <w:p w14:paraId="47ACA66F" w14:textId="77777777" w:rsidR="008A494F" w:rsidRPr="008A494F" w:rsidRDefault="008A494F" w:rsidP="00A42E8B">
      <w:pPr>
        <w:snapToGrid w:val="0"/>
        <w:spacing w:before="60" w:after="60"/>
        <w:ind w:firstLineChars="0" w:firstLine="0"/>
        <w:jc w:val="left"/>
        <w:rPr>
          <w:rFonts w:asciiTheme="minorEastAsia" w:hAnsiTheme="minorEastAsia" w:hint="eastAsia"/>
          <w:color w:val="333333"/>
          <w:sz w:val="22"/>
        </w:rPr>
      </w:pPr>
    </w:p>
    <w:p w14:paraId="50FF3299" w14:textId="77777777" w:rsidR="00744957" w:rsidRPr="008A494F" w:rsidRDefault="0027127C" w:rsidP="00A42E8B">
      <w:pPr>
        <w:snapToGrid w:val="0"/>
        <w:spacing w:before="60" w:after="60"/>
        <w:ind w:firstLine="440"/>
        <w:jc w:val="left"/>
        <w:rPr>
          <w:rFonts w:asciiTheme="minorEastAsia" w:hAnsiTheme="minorEastAsia"/>
          <w:color w:val="333333"/>
          <w:sz w:val="22"/>
        </w:rPr>
      </w:pPr>
      <w:r w:rsidRPr="008A494F">
        <w:rPr>
          <w:rFonts w:asciiTheme="minorEastAsia" w:hAnsiTheme="minorEastAsia"/>
          <w:color w:val="333333"/>
          <w:sz w:val="22"/>
        </w:rPr>
        <w:t>队伍编号：1</w:t>
      </w:r>
    </w:p>
    <w:p w14:paraId="69450354" w14:textId="77777777" w:rsidR="00744957" w:rsidRPr="008A494F" w:rsidRDefault="0027127C" w:rsidP="00A42E8B">
      <w:pPr>
        <w:snapToGrid w:val="0"/>
        <w:spacing w:before="60" w:after="60"/>
        <w:ind w:firstLine="440"/>
        <w:jc w:val="left"/>
        <w:rPr>
          <w:rFonts w:asciiTheme="minorEastAsia" w:hAnsiTheme="minorEastAsia"/>
          <w:color w:val="333333"/>
          <w:sz w:val="22"/>
        </w:rPr>
      </w:pPr>
      <w:r w:rsidRPr="008A494F">
        <w:rPr>
          <w:rFonts w:asciiTheme="minorEastAsia" w:hAnsiTheme="minorEastAsia"/>
          <w:color w:val="333333"/>
          <w:sz w:val="22"/>
        </w:rPr>
        <w:t>队伍名：老爷保号</w:t>
      </w:r>
    </w:p>
    <w:p w14:paraId="179D8F00" w14:textId="77777777" w:rsidR="00744957" w:rsidRPr="008A494F" w:rsidRDefault="0027127C" w:rsidP="00A42E8B">
      <w:pPr>
        <w:snapToGrid w:val="0"/>
        <w:spacing w:before="60" w:after="60"/>
        <w:ind w:firstLine="440"/>
        <w:jc w:val="left"/>
        <w:rPr>
          <w:rFonts w:asciiTheme="minorEastAsia" w:hAnsiTheme="minorEastAsia"/>
          <w:color w:val="333333"/>
          <w:sz w:val="22"/>
        </w:rPr>
      </w:pPr>
      <w:r w:rsidRPr="008A494F">
        <w:rPr>
          <w:rFonts w:asciiTheme="minorEastAsia" w:hAnsiTheme="minorEastAsia"/>
          <w:color w:val="333333"/>
          <w:sz w:val="22"/>
        </w:rPr>
        <w:t>成员：姚瀚普 - 宾夕法尼亚大学</w:t>
      </w:r>
    </w:p>
    <w:p w14:paraId="1283B28B" w14:textId="77777777" w:rsidR="00744957" w:rsidRPr="008A494F" w:rsidRDefault="0027127C" w:rsidP="00A42E8B">
      <w:pPr>
        <w:snapToGrid w:val="0"/>
        <w:spacing w:before="60" w:after="60"/>
        <w:ind w:firstLine="440"/>
        <w:jc w:val="left"/>
        <w:rPr>
          <w:rFonts w:asciiTheme="minorEastAsia" w:hAnsiTheme="minorEastAsia"/>
          <w:color w:val="333333"/>
          <w:sz w:val="22"/>
        </w:rPr>
      </w:pPr>
      <w:r w:rsidRPr="008A494F">
        <w:rPr>
          <w:rFonts w:asciiTheme="minorEastAsia" w:hAnsiTheme="minorEastAsia"/>
          <w:color w:val="333333"/>
          <w:sz w:val="22"/>
        </w:rPr>
        <w:t>陈钺 - 埃塞克商学院</w:t>
      </w:r>
    </w:p>
    <w:p w14:paraId="6165332B" w14:textId="01D98063" w:rsidR="00744957" w:rsidRPr="008A494F" w:rsidRDefault="0027127C" w:rsidP="00A42E8B">
      <w:pPr>
        <w:snapToGrid w:val="0"/>
        <w:spacing w:before="60" w:after="60"/>
        <w:ind w:firstLine="440"/>
        <w:jc w:val="left"/>
        <w:rPr>
          <w:rFonts w:asciiTheme="minorEastAsia" w:hAnsiTheme="minorEastAsia"/>
          <w:color w:val="333333"/>
          <w:sz w:val="22"/>
        </w:rPr>
      </w:pPr>
      <w:r w:rsidRPr="008A494F">
        <w:rPr>
          <w:rFonts w:asciiTheme="minorEastAsia" w:hAnsiTheme="minorEastAsia"/>
          <w:color w:val="333333"/>
          <w:sz w:val="22"/>
        </w:rPr>
        <w:t>吴祥茵 - 深圳大学</w:t>
      </w:r>
    </w:p>
    <w:p w14:paraId="0268ED10" w14:textId="77777777" w:rsidR="00744957" w:rsidRPr="008A494F" w:rsidRDefault="0027127C" w:rsidP="00A42E8B">
      <w:pPr>
        <w:pStyle w:val="4"/>
        <w:snapToGrid w:val="0"/>
        <w:spacing w:line="360" w:lineRule="auto"/>
        <w:ind w:firstLineChars="0" w:firstLine="0"/>
        <w:rPr>
          <w:rFonts w:asciiTheme="minorEastAsia" w:eastAsiaTheme="minorEastAsia" w:hAnsiTheme="minorEastAsia"/>
        </w:rPr>
      </w:pPr>
      <w:r w:rsidRPr="008A494F">
        <w:rPr>
          <w:rFonts w:asciiTheme="minorEastAsia" w:eastAsiaTheme="minorEastAsia" w:hAnsiTheme="minorEastAsia"/>
        </w:rPr>
        <w:lastRenderedPageBreak/>
        <w:t>背景介绍</w:t>
      </w:r>
    </w:p>
    <w:p w14:paraId="0E5B3CA2" w14:textId="77777777" w:rsidR="00744957" w:rsidRPr="008A494F" w:rsidRDefault="0027127C" w:rsidP="00A42E8B">
      <w:pPr>
        <w:snapToGrid w:val="0"/>
        <w:ind w:firstLine="420"/>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过去二十多年，中国电商行业经历了惊人的发展。2003年的非典爆发是中国电商行业的一个重要转折点。当时由于对疫情的担心，人们被迫开始接受网上购物，需求端的大幅增长催化了当时正在萌芽期的中国电商，在其后近二十年里，网络购物已经逐渐成为大众不可或缺的生活方式之一。中国电子商务行业市场规模已从2002年的1809亿元，发展到2020年的接近35</w:t>
      </w:r>
      <w:proofErr w:type="gramStart"/>
      <w:r w:rsidRPr="008A494F">
        <w:rPr>
          <w:rFonts w:asciiTheme="minorEastAsia" w:hAnsiTheme="minorEastAsia"/>
          <w:color w:val="262626"/>
          <w:szCs w:val="21"/>
          <w:shd w:val="clear" w:color="auto" w:fill="FFFFFF"/>
        </w:rPr>
        <w:t>万亿</w:t>
      </w:r>
      <w:proofErr w:type="gramEnd"/>
      <w:r w:rsidRPr="008A494F">
        <w:rPr>
          <w:rFonts w:asciiTheme="minorEastAsia" w:hAnsiTheme="minorEastAsia"/>
          <w:color w:val="262626"/>
          <w:szCs w:val="21"/>
          <w:shd w:val="clear" w:color="auto" w:fill="FFFFFF"/>
        </w:rPr>
        <w:t>元。</w:t>
      </w:r>
    </w:p>
    <w:p w14:paraId="5D31C0B5" w14:textId="77777777" w:rsidR="00744957" w:rsidRPr="008A494F" w:rsidRDefault="0027127C" w:rsidP="00A42E8B">
      <w:pPr>
        <w:snapToGrid w:val="0"/>
        <w:ind w:firstLine="420"/>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在“互联网+”的大背景下，稳定增长的电商行业也在寻找新的市场，而生鲜就是许多创业者的兴趣所在。得益于庞大的土地面积和人口基数，我国是一个传统农业大国，民间素有“民以食为天”的俗语。巨大的市场潜力和对互联网颠覆传统行业的自信显得生鲜电商市场是个新风口。然而自2005年首家生鲜电商易果网上线以来，该行业并未形成气候：跟据中国电子商务研究中心的统计数据，国内生鲜电商行业有4000余家入局者，其中仅有4%收支平衡，88%陷入亏损，仅有1%的企业能实现盈利。早期从业者总结出生鲜产品的保质期短、季节性强、储藏运输要求高、消费弹性系数小等特点制约了生鲜线上化的发展，于是，这二十年生鲜电商并未搭上电商行业顺风车。</w:t>
      </w:r>
    </w:p>
    <w:p w14:paraId="58BAD6E4" w14:textId="77777777" w:rsidR="00744957" w:rsidRPr="008A494F" w:rsidRDefault="0027127C" w:rsidP="00A42E8B">
      <w:pPr>
        <w:snapToGrid w:val="0"/>
        <w:ind w:firstLine="420"/>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这不堪直视的成绩不仅是因为供应端的品控、供应链、损耗率的不足，需求端的市场也并未打开。彼时人们购买果蔬肉蛋等生鲜产品时更加习惯在菜市场和超商等线下的购物场景，因为人们对生鲜有新鲜和安全的需求，需要亲自挑选，同时生鲜作为高消费频率的刚需特点也反向增强了用户对线下消费场景的信任和依赖，而不像电器等商品已经培养了用户网购习惯。生鲜电商除了本身基础设施等硬实力的增强外，亟待一个需求端破局的契机。</w:t>
      </w:r>
    </w:p>
    <w:p w14:paraId="12D2BB54" w14:textId="77777777" w:rsidR="00744957" w:rsidRPr="008A494F" w:rsidRDefault="0027127C" w:rsidP="00A42E8B">
      <w:pPr>
        <w:snapToGrid w:val="0"/>
        <w:ind w:firstLine="420"/>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2020年突如其来的疫情打乱了世界的节奏，为了避免感染和尽快控制疫情，人们纷纷响应号召减少外出，于是线上生鲜配送成为许多家庭的选择，生鲜电商的需求暴增。近年发展迅猛的冷链物流体系支撑起生鲜电商的供应链，对生鲜配送更高品质和质量的需求也倒逼供应链环节的优化：新出现了前置仓模式，即在区域大仓库的下游将商品前置到更接近消费者的场景（覆盖1-3公里的社区），提高了配送效率。而冷链网络和前置仓模式的推广需要较重的资本投入和较高的运营效率，使资本有深度介入的空间，加以众多其他因素的催化，生鲜电商赛道已成为资本市场的新宠。</w:t>
      </w:r>
    </w:p>
    <w:p w14:paraId="39693878" w14:textId="77777777" w:rsidR="00744957" w:rsidRPr="008A494F" w:rsidRDefault="0027127C" w:rsidP="00A42E8B">
      <w:pPr>
        <w:snapToGrid w:val="0"/>
        <w:ind w:firstLine="420"/>
        <w:rPr>
          <w:rFonts w:asciiTheme="minorEastAsia" w:hAnsiTheme="minorEastAsia" w:hint="eastAsia"/>
          <w:color w:val="262626"/>
          <w:szCs w:val="21"/>
          <w:shd w:val="clear" w:color="auto" w:fill="FFFFFF"/>
        </w:rPr>
      </w:pPr>
      <w:r w:rsidRPr="008A494F">
        <w:rPr>
          <w:rFonts w:asciiTheme="minorEastAsia" w:hAnsiTheme="minorEastAsia"/>
          <w:color w:val="262626"/>
          <w:szCs w:val="21"/>
          <w:shd w:val="clear" w:color="auto" w:fill="FFFFFF"/>
        </w:rPr>
        <w:t>在新零售的风口和疫情培养了用户习惯的双重刺激下，生鲜这一原本与群众生活密切相关，但又</w:t>
      </w:r>
      <w:proofErr w:type="gramStart"/>
      <w:r w:rsidRPr="008A494F">
        <w:rPr>
          <w:rFonts w:asciiTheme="minorEastAsia" w:hAnsiTheme="minorEastAsia"/>
          <w:color w:val="262626"/>
          <w:szCs w:val="21"/>
          <w:shd w:val="clear" w:color="auto" w:fill="FFFFFF"/>
        </w:rPr>
        <w:t>存在感低的</w:t>
      </w:r>
      <w:proofErr w:type="gramEnd"/>
      <w:r w:rsidRPr="008A494F">
        <w:rPr>
          <w:rFonts w:asciiTheme="minorEastAsia" w:hAnsiTheme="minorEastAsia"/>
          <w:color w:val="262626"/>
          <w:szCs w:val="21"/>
          <w:shd w:val="clear" w:color="auto" w:fill="FFFFFF"/>
        </w:rPr>
        <w:t>产业，已经摇身一变成为话题焦点。根据中国市场信息调查业协会《2020线上生鲜行业报告》，生鲜网购保持高速增长的趋势，2020年市场规模高达2475.7亿元，同比增长达48.9%，增速远超往年。诚然，生鲜电商的各种商业模式仍在探索中，这行业究竟是像</w:t>
      </w:r>
      <w:proofErr w:type="gramStart"/>
      <w:r w:rsidRPr="008A494F">
        <w:rPr>
          <w:rFonts w:asciiTheme="minorEastAsia" w:hAnsiTheme="minorEastAsia"/>
          <w:color w:val="262626"/>
          <w:szCs w:val="21"/>
          <w:shd w:val="clear" w:color="auto" w:fill="FFFFFF"/>
        </w:rPr>
        <w:t>非典后</w:t>
      </w:r>
      <w:proofErr w:type="gramEnd"/>
      <w:r w:rsidRPr="008A494F">
        <w:rPr>
          <w:rFonts w:asciiTheme="minorEastAsia" w:hAnsiTheme="minorEastAsia"/>
          <w:color w:val="262626"/>
          <w:szCs w:val="21"/>
          <w:shd w:val="clear" w:color="auto" w:fill="FFFFFF"/>
        </w:rPr>
        <w:t>的电商一样蓬勃发展成为生活方式，</w:t>
      </w:r>
      <w:proofErr w:type="gramStart"/>
      <w:r w:rsidRPr="008A494F">
        <w:rPr>
          <w:rFonts w:asciiTheme="minorEastAsia" w:hAnsiTheme="minorEastAsia"/>
          <w:color w:val="262626"/>
          <w:szCs w:val="21"/>
          <w:shd w:val="clear" w:color="auto" w:fill="FFFFFF"/>
        </w:rPr>
        <w:t>亦或</w:t>
      </w:r>
      <w:proofErr w:type="gramEnd"/>
      <w:r w:rsidRPr="008A494F">
        <w:rPr>
          <w:rFonts w:asciiTheme="minorEastAsia" w:hAnsiTheme="minorEastAsia"/>
          <w:color w:val="262626"/>
          <w:szCs w:val="21"/>
          <w:shd w:val="clear" w:color="auto" w:fill="FFFFFF"/>
        </w:rPr>
        <w:t>只是疫情下的昙花一现，结果需要市场和时间的检验。</w:t>
      </w:r>
    </w:p>
    <w:p w14:paraId="14A81ADB" w14:textId="77777777" w:rsidR="00744957" w:rsidRPr="008A494F" w:rsidRDefault="0027127C" w:rsidP="00A42E8B">
      <w:pPr>
        <w:pStyle w:val="5"/>
        <w:snapToGrid w:val="0"/>
        <w:spacing w:line="360" w:lineRule="auto"/>
        <w:ind w:firstLineChars="0" w:firstLine="0"/>
        <w:rPr>
          <w:rFonts w:asciiTheme="minorEastAsia" w:hAnsiTheme="minorEastAsia"/>
        </w:rPr>
      </w:pPr>
      <w:r w:rsidRPr="008A494F">
        <w:rPr>
          <w:rFonts w:asciiTheme="minorEastAsia" w:hAnsiTheme="minorEastAsia"/>
        </w:rPr>
        <w:t>研究问题及研究方法</w:t>
      </w:r>
    </w:p>
    <w:p w14:paraId="101AED12" w14:textId="77777777" w:rsidR="00744957" w:rsidRPr="008A494F" w:rsidRDefault="0027127C" w:rsidP="00A42E8B">
      <w:pPr>
        <w:snapToGrid w:val="0"/>
        <w:ind w:firstLine="420"/>
        <w:jc w:val="left"/>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本文通过研究广东省各区/县（或同级行政单位，下文同）内的生鲜电商网点数量，与当地的经济、人口等指标，探究广东省各地区生鲜电商发展状况，并通过聚类分析将各区/县分为特点鲜明的四类地区，并给出针对这几类地区的生鲜电商发展建议。</w:t>
      </w:r>
    </w:p>
    <w:p w14:paraId="74059724" w14:textId="77777777" w:rsidR="00744957" w:rsidRPr="008A494F" w:rsidRDefault="0027127C" w:rsidP="00A42E8B">
      <w:pPr>
        <w:pStyle w:val="4"/>
        <w:snapToGrid w:val="0"/>
        <w:spacing w:line="360" w:lineRule="auto"/>
        <w:ind w:firstLineChars="0" w:firstLine="0"/>
        <w:rPr>
          <w:rFonts w:asciiTheme="minorEastAsia" w:eastAsiaTheme="minorEastAsia" w:hAnsiTheme="minorEastAsia"/>
        </w:rPr>
      </w:pPr>
      <w:r w:rsidRPr="008A494F">
        <w:rPr>
          <w:rFonts w:asciiTheme="minorEastAsia" w:eastAsiaTheme="minorEastAsia" w:hAnsiTheme="minorEastAsia"/>
        </w:rPr>
        <w:lastRenderedPageBreak/>
        <w:t>数据说明与描述</w:t>
      </w:r>
    </w:p>
    <w:p w14:paraId="1584247C" w14:textId="77777777" w:rsidR="00744957" w:rsidRPr="008A494F" w:rsidRDefault="0027127C" w:rsidP="00A42E8B">
      <w:pPr>
        <w:pStyle w:val="5"/>
        <w:snapToGrid w:val="0"/>
        <w:spacing w:line="360" w:lineRule="auto"/>
        <w:ind w:firstLineChars="0" w:firstLine="0"/>
        <w:rPr>
          <w:rFonts w:asciiTheme="minorEastAsia" w:hAnsiTheme="minorEastAsia"/>
        </w:rPr>
      </w:pPr>
      <w:r w:rsidRPr="008A494F">
        <w:rPr>
          <w:rFonts w:asciiTheme="minorEastAsia" w:hAnsiTheme="minorEastAsia"/>
        </w:rPr>
        <w:t>数据来源</w:t>
      </w:r>
    </w:p>
    <w:p w14:paraId="09786BD0" w14:textId="77777777" w:rsidR="00744957" w:rsidRPr="008A494F" w:rsidRDefault="0027127C" w:rsidP="00A42E8B">
      <w:pPr>
        <w:numPr>
          <w:ilvl w:val="0"/>
          <w:numId w:val="33"/>
        </w:numPr>
        <w:snapToGrid w:val="0"/>
        <w:ind w:leftChars="190" w:left="735" w:hangingChars="160" w:hanging="336"/>
        <w:jc w:val="left"/>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广东省各区/县的人口及经济数据：取自各市2020年统计年鉴、政府网站，统计于2019年末；</w:t>
      </w:r>
    </w:p>
    <w:p w14:paraId="6BCCB7F7" w14:textId="77777777" w:rsidR="00744957" w:rsidRPr="008A494F" w:rsidRDefault="0027127C" w:rsidP="00A42E8B">
      <w:pPr>
        <w:numPr>
          <w:ilvl w:val="0"/>
          <w:numId w:val="33"/>
        </w:numPr>
        <w:snapToGrid w:val="0"/>
        <w:ind w:leftChars="190" w:left="735" w:hangingChars="160" w:hanging="336"/>
        <w:jc w:val="left"/>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广东省各区/县的生鲜电商数据：通过八爪鱼采集器于2021年4月采集自百度地图；所获数据包括各生鲜电商名称、经纬度、地址；</w:t>
      </w:r>
    </w:p>
    <w:p w14:paraId="27BA81C8" w14:textId="77777777" w:rsidR="00744957" w:rsidRPr="008A494F" w:rsidRDefault="0027127C" w:rsidP="00A42E8B">
      <w:pPr>
        <w:pStyle w:val="5"/>
        <w:snapToGrid w:val="0"/>
        <w:spacing w:line="360" w:lineRule="auto"/>
        <w:ind w:firstLineChars="0" w:firstLine="0"/>
        <w:rPr>
          <w:rFonts w:asciiTheme="minorEastAsia" w:hAnsiTheme="minorEastAsia"/>
        </w:rPr>
      </w:pPr>
      <w:r w:rsidRPr="008A494F">
        <w:rPr>
          <w:rFonts w:asciiTheme="minorEastAsia" w:hAnsiTheme="minorEastAsia"/>
        </w:rPr>
        <w:t>数据说明</w:t>
      </w:r>
    </w:p>
    <w:p w14:paraId="0E3877A8" w14:textId="7200D439" w:rsidR="00DC22A6" w:rsidRPr="008A494F" w:rsidRDefault="0027127C" w:rsidP="00A42E8B">
      <w:pPr>
        <w:snapToGrid w:val="0"/>
        <w:ind w:firstLine="420"/>
        <w:jc w:val="left"/>
        <w:rPr>
          <w:rFonts w:asciiTheme="minorEastAsia" w:hAnsiTheme="minorEastAsia" w:hint="eastAsia"/>
          <w:color w:val="262626"/>
          <w:szCs w:val="21"/>
          <w:shd w:val="clear" w:color="auto" w:fill="FFFFFF"/>
        </w:rPr>
      </w:pPr>
      <w:r w:rsidRPr="008A494F">
        <w:rPr>
          <w:rFonts w:asciiTheme="minorEastAsia" w:hAnsiTheme="minorEastAsia"/>
          <w:color w:val="262626"/>
          <w:szCs w:val="21"/>
          <w:shd w:val="clear" w:color="auto" w:fill="FFFFFF"/>
        </w:rPr>
        <w:t>研究分析广东省内区/县185个，</w:t>
      </w:r>
      <w:proofErr w:type="gramStart"/>
      <w:r w:rsidRPr="008A494F">
        <w:rPr>
          <w:rFonts w:asciiTheme="minorEastAsia" w:hAnsiTheme="minorEastAsia"/>
          <w:color w:val="262626"/>
          <w:szCs w:val="21"/>
          <w:shd w:val="clear" w:color="auto" w:fill="FFFFFF"/>
        </w:rPr>
        <w:t>爬取广东省</w:t>
      </w:r>
      <w:proofErr w:type="gramEnd"/>
      <w:r w:rsidRPr="008A494F">
        <w:rPr>
          <w:rFonts w:asciiTheme="minorEastAsia" w:hAnsiTheme="minorEastAsia"/>
          <w:color w:val="262626"/>
          <w:szCs w:val="21"/>
          <w:shd w:val="clear" w:color="auto" w:fill="FFFFFF"/>
        </w:rPr>
        <w:t>内生鲜电商POI数据922条。数据集字段包括：城市、区/县、土地面积（K㎡）、常住人口（万人）、人口密度（人/K㎡）、常住人口增长率（‰）、地区生产总值（万元）、地区生产总值增长率（%）、人均地区生产总值（元）、消费价格指数（CPI）、食品消费价格指数、生鲜电商数量、生鲜电商密度（家/K㎡）、每万人生</w:t>
      </w:r>
      <w:proofErr w:type="gramStart"/>
      <w:r w:rsidRPr="008A494F">
        <w:rPr>
          <w:rFonts w:asciiTheme="minorEastAsia" w:hAnsiTheme="minorEastAsia"/>
          <w:color w:val="262626"/>
          <w:szCs w:val="21"/>
          <w:shd w:val="clear" w:color="auto" w:fill="FFFFFF"/>
        </w:rPr>
        <w:t>鲜电商数</w:t>
      </w:r>
      <w:proofErr w:type="gramEnd"/>
      <w:r w:rsidRPr="008A494F">
        <w:rPr>
          <w:rFonts w:asciiTheme="minorEastAsia" w:hAnsiTheme="minorEastAsia"/>
          <w:color w:val="262626"/>
          <w:szCs w:val="21"/>
          <w:shd w:val="clear" w:color="auto" w:fill="FFFFFF"/>
        </w:rPr>
        <w:t>量。需要说明的字段描述如下：</w:t>
      </w:r>
    </w:p>
    <w:p w14:paraId="74C0413D" w14:textId="77777777" w:rsidR="00744957" w:rsidRPr="00AE180B" w:rsidRDefault="0027127C" w:rsidP="00AE180B">
      <w:pPr>
        <w:snapToGrid w:val="0"/>
        <w:spacing w:before="60"/>
        <w:ind w:firstLineChars="0" w:firstLine="420"/>
        <w:jc w:val="left"/>
        <w:rPr>
          <w:rFonts w:asciiTheme="minorEastAsia" w:hAnsiTheme="minorEastAsia"/>
          <w:color w:val="333333"/>
          <w:szCs w:val="21"/>
        </w:rPr>
      </w:pPr>
      <w:r w:rsidRPr="00AE180B">
        <w:rPr>
          <w:rFonts w:asciiTheme="minorEastAsia" w:hAnsiTheme="minorEastAsia"/>
          <w:color w:val="333333"/>
          <w:szCs w:val="21"/>
        </w:rPr>
        <w:t>表1 数据集字段说明</w:t>
      </w:r>
    </w:p>
    <w:tbl>
      <w:tblPr>
        <w:tblStyle w:val="a7"/>
        <w:tblW w:w="0" w:type="auto"/>
        <w:jc w:val="center"/>
        <w:tblLayout w:type="fixed"/>
        <w:tblCellMar>
          <w:top w:w="120" w:type="dxa"/>
          <w:left w:w="60" w:type="dxa"/>
          <w:bottom w:w="120" w:type="dxa"/>
          <w:right w:w="60" w:type="dxa"/>
        </w:tblCellMar>
        <w:tblLook w:val="04A0" w:firstRow="1" w:lastRow="0" w:firstColumn="1" w:lastColumn="0" w:noHBand="0" w:noVBand="1"/>
      </w:tblPr>
      <w:tblGrid>
        <w:gridCol w:w="2595"/>
        <w:gridCol w:w="6435"/>
      </w:tblGrid>
      <w:tr w:rsidR="00744957" w:rsidRPr="008A494F" w14:paraId="557EA1F3" w14:textId="77777777" w:rsidTr="00A42E8B">
        <w:trPr>
          <w:trHeight w:val="15"/>
          <w:jc w:val="center"/>
        </w:trPr>
        <w:tc>
          <w:tcPr>
            <w:tcW w:w="25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93BFDE" w14:textId="77777777" w:rsidR="00744957" w:rsidRPr="008A494F" w:rsidRDefault="0027127C" w:rsidP="00A42E8B">
            <w:pPr>
              <w:snapToGrid w:val="0"/>
              <w:spacing w:line="240" w:lineRule="auto"/>
              <w:ind w:firstLineChars="0" w:firstLine="0"/>
              <w:jc w:val="center"/>
              <w:rPr>
                <w:rFonts w:asciiTheme="minorEastAsia" w:hAnsiTheme="minorEastAsia"/>
                <w:color w:val="333333"/>
                <w:szCs w:val="21"/>
              </w:rPr>
            </w:pPr>
            <w:r w:rsidRPr="008A494F">
              <w:rPr>
                <w:rFonts w:asciiTheme="minorEastAsia" w:hAnsiTheme="minorEastAsia"/>
                <w:b/>
                <w:bCs/>
                <w:color w:val="000000"/>
                <w:szCs w:val="21"/>
              </w:rPr>
              <w:t>字段</w:t>
            </w:r>
          </w:p>
        </w:tc>
        <w:tc>
          <w:tcPr>
            <w:tcW w:w="643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34611E" w14:textId="77777777" w:rsidR="00744957" w:rsidRPr="008A494F" w:rsidRDefault="0027127C" w:rsidP="00A42E8B">
            <w:pPr>
              <w:snapToGrid w:val="0"/>
              <w:spacing w:line="240" w:lineRule="auto"/>
              <w:ind w:firstLineChars="0" w:firstLine="0"/>
              <w:jc w:val="center"/>
              <w:rPr>
                <w:rFonts w:asciiTheme="minorEastAsia" w:hAnsiTheme="minorEastAsia"/>
                <w:color w:val="333333"/>
                <w:szCs w:val="21"/>
              </w:rPr>
            </w:pPr>
            <w:r w:rsidRPr="008A494F">
              <w:rPr>
                <w:rFonts w:asciiTheme="minorEastAsia" w:hAnsiTheme="minorEastAsia"/>
                <w:b/>
                <w:bCs/>
                <w:color w:val="000000"/>
                <w:szCs w:val="21"/>
              </w:rPr>
              <w:t>说明</w:t>
            </w:r>
          </w:p>
        </w:tc>
      </w:tr>
      <w:tr w:rsidR="00744957" w:rsidRPr="008A494F" w14:paraId="46FFE158" w14:textId="77777777" w:rsidTr="00A42E8B">
        <w:trPr>
          <w:trHeight w:val="15"/>
          <w:jc w:val="center"/>
        </w:trPr>
        <w:tc>
          <w:tcPr>
            <w:tcW w:w="25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617D040"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地区生产总值增长率（%）</w:t>
            </w:r>
          </w:p>
        </w:tc>
        <w:tc>
          <w:tcPr>
            <w:tcW w:w="643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A9D1373"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其中广州、江门、东莞在统计年鉴中无分区/分县/分镇数据。</w:t>
            </w:r>
          </w:p>
        </w:tc>
      </w:tr>
      <w:tr w:rsidR="00744957" w:rsidRPr="008A494F" w14:paraId="244090E2" w14:textId="77777777" w:rsidTr="00A42E8B">
        <w:trPr>
          <w:trHeight w:val="306"/>
          <w:jc w:val="center"/>
        </w:trPr>
        <w:tc>
          <w:tcPr>
            <w:tcW w:w="25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174BA25"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人均地区生产总值（元）</w:t>
            </w:r>
          </w:p>
        </w:tc>
        <w:tc>
          <w:tcPr>
            <w:tcW w:w="643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15FABA"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其中深圳、广州、中山、东莞在统计年鉴中无分区/分县/分镇数据，故按如下公式计算：人均地区生产总值 = 地区生产总值/常住人口。</w:t>
            </w:r>
          </w:p>
        </w:tc>
      </w:tr>
      <w:tr w:rsidR="00744957" w:rsidRPr="008A494F" w14:paraId="3CA7DB74" w14:textId="77777777" w:rsidTr="00A42E8B">
        <w:trPr>
          <w:trHeight w:val="15"/>
          <w:jc w:val="center"/>
        </w:trPr>
        <w:tc>
          <w:tcPr>
            <w:tcW w:w="25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02E360"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消费价格指数（CPI）</w:t>
            </w:r>
          </w:p>
        </w:tc>
        <w:tc>
          <w:tcPr>
            <w:tcW w:w="643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D9B955"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表现地区物价水平，以该区所在市的指数为该区指数。</w:t>
            </w:r>
          </w:p>
        </w:tc>
      </w:tr>
      <w:tr w:rsidR="00744957" w:rsidRPr="008A494F" w14:paraId="48242AAA" w14:textId="77777777" w:rsidTr="00A42E8B">
        <w:trPr>
          <w:trHeight w:val="15"/>
          <w:jc w:val="center"/>
        </w:trPr>
        <w:tc>
          <w:tcPr>
            <w:tcW w:w="25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9AC86F"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食品消费价格指数</w:t>
            </w:r>
          </w:p>
        </w:tc>
        <w:tc>
          <w:tcPr>
            <w:tcW w:w="643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3081540"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表现地区</w:t>
            </w:r>
            <w:proofErr w:type="gramStart"/>
            <w:r w:rsidRPr="008A494F">
              <w:rPr>
                <w:rFonts w:asciiTheme="minorEastAsia" w:hAnsiTheme="minorEastAsia"/>
                <w:color w:val="000000"/>
                <w:sz w:val="18"/>
                <w:szCs w:val="18"/>
              </w:rPr>
              <w:t>食品物价</w:t>
            </w:r>
            <w:proofErr w:type="gramEnd"/>
            <w:r w:rsidRPr="008A494F">
              <w:rPr>
                <w:rFonts w:asciiTheme="minorEastAsia" w:hAnsiTheme="minorEastAsia"/>
                <w:color w:val="000000"/>
                <w:sz w:val="18"/>
                <w:szCs w:val="18"/>
              </w:rPr>
              <w:t>水平，以该区所在市的指数为该区指数。</w:t>
            </w:r>
          </w:p>
        </w:tc>
      </w:tr>
      <w:tr w:rsidR="00744957" w:rsidRPr="008A494F" w14:paraId="23BF508F" w14:textId="77777777" w:rsidTr="00A42E8B">
        <w:trPr>
          <w:trHeight w:val="413"/>
          <w:jc w:val="center"/>
        </w:trPr>
        <w:tc>
          <w:tcPr>
            <w:tcW w:w="25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85A39C"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生鲜电商数量</w:t>
            </w:r>
          </w:p>
        </w:tc>
        <w:tc>
          <w:tcPr>
            <w:tcW w:w="643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E26812"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范围内生鲜电商网点数量，以市场占有率较高、且能在百度地图中查询到生鲜网点的品牌：</w:t>
            </w:r>
            <w:proofErr w:type="gramStart"/>
            <w:r w:rsidRPr="008A494F">
              <w:rPr>
                <w:rFonts w:asciiTheme="minorEastAsia" w:hAnsiTheme="minorEastAsia"/>
                <w:color w:val="000000"/>
                <w:sz w:val="18"/>
                <w:szCs w:val="18"/>
              </w:rPr>
              <w:t>美团买菜</w:t>
            </w:r>
            <w:proofErr w:type="gramEnd"/>
            <w:r w:rsidRPr="008A494F">
              <w:rPr>
                <w:rFonts w:asciiTheme="minorEastAsia" w:hAnsiTheme="minorEastAsia"/>
                <w:color w:val="000000"/>
                <w:sz w:val="18"/>
                <w:szCs w:val="18"/>
              </w:rPr>
              <w:t>（</w:t>
            </w:r>
            <w:proofErr w:type="gramStart"/>
            <w:r w:rsidRPr="008A494F">
              <w:rPr>
                <w:rFonts w:asciiTheme="minorEastAsia" w:hAnsiTheme="minorEastAsia"/>
                <w:color w:val="000000"/>
                <w:sz w:val="18"/>
                <w:szCs w:val="18"/>
              </w:rPr>
              <w:t>美团优选</w:t>
            </w:r>
            <w:proofErr w:type="gramEnd"/>
            <w:r w:rsidRPr="008A494F">
              <w:rPr>
                <w:rFonts w:asciiTheme="minorEastAsia" w:hAnsiTheme="minorEastAsia"/>
                <w:color w:val="000000"/>
                <w:sz w:val="18"/>
                <w:szCs w:val="18"/>
              </w:rPr>
              <w:t>）、叮咚买菜、朴朴超市、每日优鲜、</w:t>
            </w:r>
            <w:proofErr w:type="gramStart"/>
            <w:r w:rsidRPr="008A494F">
              <w:rPr>
                <w:rFonts w:asciiTheme="minorEastAsia" w:hAnsiTheme="minorEastAsia"/>
                <w:color w:val="000000"/>
                <w:sz w:val="18"/>
                <w:szCs w:val="18"/>
              </w:rPr>
              <w:t>盒马鲜生</w:t>
            </w:r>
            <w:proofErr w:type="gramEnd"/>
            <w:r w:rsidRPr="008A494F">
              <w:rPr>
                <w:rFonts w:asciiTheme="minorEastAsia" w:hAnsiTheme="minorEastAsia"/>
                <w:color w:val="000000"/>
                <w:sz w:val="18"/>
                <w:szCs w:val="18"/>
              </w:rPr>
              <w:t>。</w:t>
            </w:r>
          </w:p>
        </w:tc>
      </w:tr>
      <w:tr w:rsidR="00744957" w:rsidRPr="008A494F" w14:paraId="7294AF4D" w14:textId="77777777" w:rsidTr="00A42E8B">
        <w:trPr>
          <w:trHeight w:val="15"/>
          <w:jc w:val="center"/>
        </w:trPr>
        <w:tc>
          <w:tcPr>
            <w:tcW w:w="25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824581"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生鲜电商密度（家/K㎡）</w:t>
            </w:r>
          </w:p>
        </w:tc>
        <w:tc>
          <w:tcPr>
            <w:tcW w:w="643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B1519D"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范围内生鲜电商数量/土地面积。</w:t>
            </w:r>
          </w:p>
        </w:tc>
      </w:tr>
      <w:tr w:rsidR="00744957" w:rsidRPr="008A494F" w14:paraId="41F22DFD" w14:textId="77777777" w:rsidTr="00A42E8B">
        <w:trPr>
          <w:trHeight w:val="15"/>
          <w:jc w:val="center"/>
        </w:trPr>
        <w:tc>
          <w:tcPr>
            <w:tcW w:w="259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1610D0"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每万人生</w:t>
            </w:r>
            <w:proofErr w:type="gramStart"/>
            <w:r w:rsidRPr="008A494F">
              <w:rPr>
                <w:rFonts w:asciiTheme="minorEastAsia" w:hAnsiTheme="minorEastAsia"/>
                <w:color w:val="000000"/>
                <w:sz w:val="18"/>
                <w:szCs w:val="18"/>
              </w:rPr>
              <w:t>鲜电商数</w:t>
            </w:r>
            <w:proofErr w:type="gramEnd"/>
            <w:r w:rsidRPr="008A494F">
              <w:rPr>
                <w:rFonts w:asciiTheme="minorEastAsia" w:hAnsiTheme="minorEastAsia"/>
                <w:color w:val="000000"/>
                <w:sz w:val="18"/>
                <w:szCs w:val="18"/>
              </w:rPr>
              <w:t>量</w:t>
            </w:r>
          </w:p>
        </w:tc>
        <w:tc>
          <w:tcPr>
            <w:tcW w:w="643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8FCE82" w14:textId="77777777" w:rsidR="00744957" w:rsidRPr="008A494F" w:rsidRDefault="0027127C" w:rsidP="00A42E8B">
            <w:pPr>
              <w:snapToGrid w:val="0"/>
              <w:spacing w:line="240" w:lineRule="auto"/>
              <w:ind w:firstLineChars="0" w:firstLine="0"/>
              <w:jc w:val="left"/>
              <w:rPr>
                <w:rFonts w:asciiTheme="minorEastAsia" w:hAnsiTheme="minorEastAsia"/>
                <w:color w:val="333333"/>
                <w:sz w:val="18"/>
                <w:szCs w:val="18"/>
              </w:rPr>
            </w:pPr>
            <w:r w:rsidRPr="008A494F">
              <w:rPr>
                <w:rFonts w:asciiTheme="minorEastAsia" w:hAnsiTheme="minorEastAsia"/>
                <w:color w:val="000000"/>
                <w:sz w:val="18"/>
                <w:szCs w:val="18"/>
              </w:rPr>
              <w:t>范围内生鲜电商数量/常住人口*10000。</w:t>
            </w:r>
          </w:p>
        </w:tc>
      </w:tr>
    </w:tbl>
    <w:p w14:paraId="4430B1D6" w14:textId="77777777" w:rsidR="00A42E8B" w:rsidRPr="008A494F" w:rsidRDefault="00A42E8B" w:rsidP="00A42E8B">
      <w:pPr>
        <w:pStyle w:val="4"/>
        <w:snapToGrid w:val="0"/>
        <w:spacing w:line="360" w:lineRule="auto"/>
        <w:ind w:firstLineChars="0" w:firstLine="0"/>
        <w:rPr>
          <w:rFonts w:asciiTheme="minorEastAsia" w:eastAsiaTheme="minorEastAsia" w:hAnsiTheme="minorEastAsia"/>
          <w:sz w:val="21"/>
          <w:szCs w:val="21"/>
        </w:rPr>
      </w:pPr>
    </w:p>
    <w:p w14:paraId="2A2D0BF6" w14:textId="1DD66014" w:rsidR="00744957" w:rsidRPr="008A494F" w:rsidRDefault="0027127C" w:rsidP="00A42E8B">
      <w:pPr>
        <w:pStyle w:val="4"/>
        <w:snapToGrid w:val="0"/>
        <w:spacing w:line="360" w:lineRule="auto"/>
        <w:ind w:firstLineChars="0" w:firstLine="0"/>
        <w:rPr>
          <w:rFonts w:asciiTheme="minorEastAsia" w:eastAsiaTheme="minorEastAsia" w:hAnsiTheme="minorEastAsia"/>
          <w:sz w:val="21"/>
          <w:szCs w:val="21"/>
        </w:rPr>
      </w:pPr>
      <w:r w:rsidRPr="008A494F">
        <w:rPr>
          <w:rFonts w:asciiTheme="minorEastAsia" w:eastAsiaTheme="minorEastAsia" w:hAnsiTheme="minorEastAsia"/>
          <w:sz w:val="21"/>
          <w:szCs w:val="21"/>
        </w:rPr>
        <w:t>数据描述分析</w:t>
      </w:r>
    </w:p>
    <w:p w14:paraId="51148D75" w14:textId="77777777" w:rsidR="00A42E8B" w:rsidRPr="008A494F" w:rsidRDefault="0027127C" w:rsidP="00A42E8B">
      <w:pPr>
        <w:snapToGrid w:val="0"/>
        <w:ind w:firstLine="420"/>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各区人口经济数据：各区/县常住人口平均值为62万人，地区生产总值（GDP）平均值为576亿元，不计东莞中山各镇，各区/县常住人口平均值为80万人，GDP平均值为736亿元。</w:t>
      </w:r>
    </w:p>
    <w:p w14:paraId="2E09F443" w14:textId="14BF328A" w:rsidR="00DC22A6" w:rsidRDefault="0027127C" w:rsidP="008A494F">
      <w:pPr>
        <w:snapToGrid w:val="0"/>
        <w:ind w:firstLine="420"/>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各区/县生鲜电商：各区/县生鲜电商数量、每万人生</w:t>
      </w:r>
      <w:proofErr w:type="gramStart"/>
      <w:r w:rsidRPr="008A494F">
        <w:rPr>
          <w:rFonts w:asciiTheme="minorEastAsia" w:hAnsiTheme="minorEastAsia"/>
          <w:color w:val="262626"/>
          <w:szCs w:val="21"/>
          <w:shd w:val="clear" w:color="auto" w:fill="FFFFFF"/>
        </w:rPr>
        <w:t>鲜电商数</w:t>
      </w:r>
      <w:proofErr w:type="gramEnd"/>
      <w:r w:rsidRPr="008A494F">
        <w:rPr>
          <w:rFonts w:asciiTheme="minorEastAsia" w:hAnsiTheme="minorEastAsia"/>
          <w:color w:val="262626"/>
          <w:szCs w:val="21"/>
          <w:shd w:val="clear" w:color="auto" w:fill="FFFFFF"/>
        </w:rPr>
        <w:t>量、生鲜电商密度平均值分别为7.2家、0.045家、0.018家/平方公里；不计东莞中山各镇，分别为8.2家、0.056家、0.024家/平方公里。各区/县生鲜电商密度多小于0.02家/平方公里（图1）。</w:t>
      </w:r>
    </w:p>
    <w:p w14:paraId="6EE30C91" w14:textId="77777777" w:rsidR="008A494F" w:rsidRDefault="008A494F" w:rsidP="008A494F">
      <w:pPr>
        <w:snapToGrid w:val="0"/>
        <w:ind w:firstLineChars="0" w:firstLine="0"/>
        <w:jc w:val="center"/>
        <w:rPr>
          <w:rFonts w:asciiTheme="minorEastAsia" w:hAnsiTheme="minorEastAsia"/>
          <w:color w:val="262626"/>
          <w:szCs w:val="21"/>
          <w:shd w:val="clear" w:color="auto" w:fill="FFFFFF"/>
        </w:rPr>
      </w:pPr>
      <w:r w:rsidRPr="008A494F">
        <w:rPr>
          <w:rFonts w:asciiTheme="minorEastAsia" w:hAnsiTheme="minorEastAsia"/>
          <w:noProof/>
          <w:color w:val="262626"/>
          <w:szCs w:val="21"/>
          <w:shd w:val="clear" w:color="auto" w:fill="FFFFFF"/>
        </w:rPr>
        <w:lastRenderedPageBreak/>
        <w:drawing>
          <wp:inline distT="0" distB="0" distL="0" distR="0" wp14:anchorId="2110B148" wp14:editId="319DAB51">
            <wp:extent cx="4716213" cy="2484408"/>
            <wp:effectExtent l="0" t="0" r="825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6015" cy="2494839"/>
                    </a:xfrm>
                    <a:prstGeom prst="rect">
                      <a:avLst/>
                    </a:prstGeom>
                    <a:noFill/>
                    <a:ln>
                      <a:noFill/>
                    </a:ln>
                  </pic:spPr>
                </pic:pic>
              </a:graphicData>
            </a:graphic>
          </wp:inline>
        </w:drawing>
      </w:r>
    </w:p>
    <w:p w14:paraId="49E64F5D" w14:textId="185ACFD0" w:rsidR="00744957" w:rsidRPr="008A494F" w:rsidRDefault="0027127C" w:rsidP="00AE180B">
      <w:pPr>
        <w:snapToGrid w:val="0"/>
        <w:spacing w:line="240" w:lineRule="auto"/>
        <w:ind w:left="1260" w:firstLineChars="0" w:firstLine="0"/>
        <w:rPr>
          <w:rFonts w:asciiTheme="minorEastAsia" w:hAnsiTheme="minorEastAsia"/>
          <w:color w:val="262626"/>
          <w:szCs w:val="21"/>
          <w:shd w:val="clear" w:color="auto" w:fill="FFFFFF"/>
        </w:rPr>
      </w:pPr>
      <w:r w:rsidRPr="008A494F">
        <w:rPr>
          <w:rFonts w:asciiTheme="minorEastAsia" w:hAnsiTheme="minorEastAsia"/>
          <w:i/>
          <w:iCs/>
          <w:color w:val="333333"/>
          <w:sz w:val="18"/>
          <w:szCs w:val="18"/>
        </w:rPr>
        <w:t>注：纵坐标已</w:t>
      </w:r>
      <w:proofErr w:type="gramStart"/>
      <w:r w:rsidRPr="008A494F">
        <w:rPr>
          <w:rFonts w:asciiTheme="minorEastAsia" w:hAnsiTheme="minorEastAsia"/>
          <w:i/>
          <w:iCs/>
          <w:color w:val="333333"/>
          <w:sz w:val="18"/>
          <w:szCs w:val="18"/>
        </w:rPr>
        <w:t>做对</w:t>
      </w:r>
      <w:proofErr w:type="gramEnd"/>
      <w:r w:rsidRPr="008A494F">
        <w:rPr>
          <w:rFonts w:asciiTheme="minorEastAsia" w:hAnsiTheme="minorEastAsia"/>
          <w:i/>
          <w:iCs/>
          <w:color w:val="333333"/>
          <w:sz w:val="18"/>
          <w:szCs w:val="18"/>
        </w:rPr>
        <w:t>数处理</w:t>
      </w:r>
    </w:p>
    <w:p w14:paraId="5EB631FB" w14:textId="24EE84F8" w:rsidR="00DC22A6" w:rsidRPr="008A494F" w:rsidRDefault="0027127C" w:rsidP="00AE180B">
      <w:pPr>
        <w:snapToGrid w:val="0"/>
        <w:spacing w:before="60" w:after="60" w:line="240" w:lineRule="auto"/>
        <w:ind w:firstLine="420"/>
        <w:jc w:val="center"/>
        <w:rPr>
          <w:rFonts w:asciiTheme="minorEastAsia" w:hAnsiTheme="minorEastAsia" w:hint="eastAsia"/>
          <w:color w:val="333333"/>
          <w:szCs w:val="21"/>
        </w:rPr>
      </w:pPr>
      <w:r w:rsidRPr="008A494F">
        <w:rPr>
          <w:rFonts w:asciiTheme="minorEastAsia" w:hAnsiTheme="minorEastAsia"/>
          <w:color w:val="333333"/>
          <w:szCs w:val="21"/>
        </w:rPr>
        <w:t>图1 区/县生鲜电商数密度频率分布</w:t>
      </w:r>
    </w:p>
    <w:p w14:paraId="6CA07A83" w14:textId="77777777" w:rsidR="00744957" w:rsidRPr="008A494F" w:rsidRDefault="0027127C" w:rsidP="00AE180B">
      <w:pPr>
        <w:snapToGrid w:val="0"/>
        <w:spacing w:before="240"/>
        <w:ind w:firstLine="420"/>
        <w:rPr>
          <w:rFonts w:asciiTheme="minorEastAsia" w:hAnsiTheme="minorEastAsia"/>
          <w:color w:val="262626"/>
          <w:szCs w:val="21"/>
          <w:shd w:val="clear" w:color="auto" w:fill="FFFFFF"/>
        </w:rPr>
      </w:pPr>
      <w:r w:rsidRPr="008A494F">
        <w:rPr>
          <w:rFonts w:asciiTheme="minorEastAsia" w:hAnsiTheme="minorEastAsia"/>
          <w:color w:val="262626"/>
          <w:szCs w:val="21"/>
        </w:rPr>
        <w:t>如图2、图3，</w:t>
      </w:r>
      <w:r w:rsidRPr="008A494F">
        <w:rPr>
          <w:rFonts w:asciiTheme="minorEastAsia" w:hAnsiTheme="minorEastAsia"/>
          <w:b/>
          <w:bCs/>
          <w:color w:val="262626"/>
          <w:szCs w:val="21"/>
          <w:shd w:val="clear" w:color="auto" w:fill="FFFFFF"/>
        </w:rPr>
        <w:t>生鲜电商密度随人口密度增大而增大：</w:t>
      </w:r>
      <w:r w:rsidRPr="008A494F">
        <w:rPr>
          <w:rFonts w:asciiTheme="minorEastAsia" w:hAnsiTheme="minorEastAsia"/>
          <w:color w:val="262626"/>
          <w:szCs w:val="21"/>
          <w:shd w:val="clear" w:color="auto" w:fill="FFFFFF"/>
        </w:rPr>
        <w:t>人口密度高的地区，消费需求大，更能吸引生鲜电商进驻，故这些地区的生鲜电商密度较高。</w:t>
      </w:r>
      <w:r w:rsidRPr="008A494F">
        <w:rPr>
          <w:rFonts w:asciiTheme="minorEastAsia" w:hAnsiTheme="minorEastAsia"/>
          <w:b/>
          <w:bCs/>
          <w:color w:val="262626"/>
          <w:szCs w:val="21"/>
          <w:shd w:val="clear" w:color="auto" w:fill="FFFFFF"/>
        </w:rPr>
        <w:t>每万人生鲜电商数量随人均GDP增大而增大：</w:t>
      </w:r>
      <w:r w:rsidRPr="008A494F">
        <w:rPr>
          <w:rFonts w:asciiTheme="minorEastAsia" w:hAnsiTheme="minorEastAsia"/>
          <w:color w:val="262626"/>
          <w:szCs w:val="21"/>
          <w:shd w:val="clear" w:color="auto" w:fill="FFFFFF"/>
        </w:rPr>
        <w:t>人均GDP高的地区，其消费水平更高，更能吸引生鲜电商进驻，故人均生鲜电商数量较多。</w:t>
      </w:r>
    </w:p>
    <w:p w14:paraId="6A4DD5F3" w14:textId="250D3A54" w:rsidR="008A494F" w:rsidRDefault="0027127C" w:rsidP="008A494F">
      <w:pPr>
        <w:snapToGrid w:val="0"/>
        <w:ind w:firstLine="420"/>
        <w:rPr>
          <w:rFonts w:asciiTheme="minorEastAsia" w:hAnsiTheme="minorEastAsia"/>
          <w:color w:val="333333"/>
          <w:szCs w:val="21"/>
        </w:rPr>
      </w:pPr>
      <w:r w:rsidRPr="008A494F">
        <w:rPr>
          <w:rFonts w:asciiTheme="minorEastAsia" w:hAnsiTheme="minorEastAsia"/>
          <w:color w:val="262626"/>
          <w:szCs w:val="21"/>
        </w:rPr>
        <w:t>如图2、图3，</w:t>
      </w:r>
      <w:r w:rsidRPr="008A494F">
        <w:rPr>
          <w:rFonts w:asciiTheme="minorEastAsia" w:hAnsiTheme="minorEastAsia"/>
          <w:b/>
          <w:bCs/>
          <w:color w:val="333333"/>
          <w:szCs w:val="21"/>
        </w:rPr>
        <w:t>广深可作为生鲜电商持续发展地区</w:t>
      </w:r>
      <w:r w:rsidRPr="008A494F">
        <w:rPr>
          <w:rFonts w:asciiTheme="minorEastAsia" w:hAnsiTheme="minorEastAsia"/>
          <w:color w:val="333333"/>
          <w:szCs w:val="21"/>
        </w:rPr>
        <w:t>：广州、深圳多个区，每万人生鲜电商数量多密度大，较好的满足消费需求；且经济上规模大增速快，市场规模、市场潜力较大。</w:t>
      </w:r>
      <w:r w:rsidRPr="008A494F">
        <w:rPr>
          <w:rFonts w:asciiTheme="minorEastAsia" w:hAnsiTheme="minorEastAsia"/>
          <w:b/>
          <w:bCs/>
          <w:color w:val="333333"/>
          <w:szCs w:val="21"/>
        </w:rPr>
        <w:t>深圳龙岗可作为优先布局地区</w:t>
      </w:r>
      <w:r w:rsidRPr="008A494F">
        <w:rPr>
          <w:rFonts w:asciiTheme="minorEastAsia" w:hAnsiTheme="minorEastAsia"/>
          <w:color w:val="333333"/>
          <w:szCs w:val="21"/>
        </w:rPr>
        <w:t>：深圳龙岗的人口密度及生鲜电商密度都处于中等水平，但其</w:t>
      </w:r>
      <w:proofErr w:type="gramStart"/>
      <w:r w:rsidRPr="008A494F">
        <w:rPr>
          <w:rFonts w:asciiTheme="minorEastAsia" w:hAnsiTheme="minorEastAsia"/>
          <w:color w:val="333333"/>
          <w:szCs w:val="21"/>
        </w:rPr>
        <w:t>经济人口规模</w:t>
      </w:r>
      <w:proofErr w:type="gramEnd"/>
      <w:r w:rsidRPr="008A494F">
        <w:rPr>
          <w:rFonts w:asciiTheme="minorEastAsia" w:hAnsiTheme="minorEastAsia"/>
          <w:color w:val="333333"/>
          <w:szCs w:val="21"/>
        </w:rPr>
        <w:t>均较大，对于生鲜电商的需求较大；且其</w:t>
      </w:r>
      <w:proofErr w:type="gramStart"/>
      <w:r w:rsidRPr="008A494F">
        <w:rPr>
          <w:rFonts w:asciiTheme="minorEastAsia" w:hAnsiTheme="minorEastAsia"/>
          <w:color w:val="333333"/>
          <w:szCs w:val="21"/>
        </w:rPr>
        <w:t>经济人</w:t>
      </w:r>
      <w:proofErr w:type="gramEnd"/>
      <w:r w:rsidRPr="008A494F">
        <w:rPr>
          <w:rFonts w:asciiTheme="minorEastAsia" w:hAnsiTheme="minorEastAsia"/>
          <w:color w:val="333333"/>
          <w:szCs w:val="21"/>
        </w:rPr>
        <w:t>口增速均极大，市场潜力大。</w:t>
      </w:r>
    </w:p>
    <w:p w14:paraId="13A51678" w14:textId="58105E3C" w:rsidR="00744957" w:rsidRPr="008A494F" w:rsidRDefault="008A494F" w:rsidP="005D29C6">
      <w:pPr>
        <w:snapToGrid w:val="0"/>
        <w:ind w:firstLineChars="0" w:firstLine="0"/>
        <w:jc w:val="center"/>
        <w:rPr>
          <w:rFonts w:asciiTheme="minorEastAsia" w:hAnsiTheme="minorEastAsia"/>
          <w:color w:val="333333"/>
          <w:szCs w:val="21"/>
        </w:rPr>
      </w:pPr>
      <w:r w:rsidRPr="008A494F">
        <w:rPr>
          <w:rFonts w:asciiTheme="minorEastAsia" w:hAnsiTheme="minorEastAsia"/>
          <w:noProof/>
          <w:color w:val="333333"/>
          <w:szCs w:val="21"/>
        </w:rPr>
        <w:drawing>
          <wp:inline distT="0" distB="0" distL="0" distR="0" wp14:anchorId="503890D3" wp14:editId="068A4F6A">
            <wp:extent cx="5085781" cy="320040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7562" cy="3220400"/>
                    </a:xfrm>
                    <a:prstGeom prst="rect">
                      <a:avLst/>
                    </a:prstGeom>
                    <a:noFill/>
                    <a:ln>
                      <a:noFill/>
                    </a:ln>
                  </pic:spPr>
                </pic:pic>
              </a:graphicData>
            </a:graphic>
          </wp:inline>
        </w:drawing>
      </w:r>
    </w:p>
    <w:p w14:paraId="6D28D398" w14:textId="6D6FDF0E" w:rsidR="00DC22A6" w:rsidRPr="008A494F" w:rsidRDefault="0027127C" w:rsidP="00AE180B">
      <w:pPr>
        <w:snapToGrid w:val="0"/>
        <w:spacing w:before="60" w:after="60" w:line="240" w:lineRule="auto"/>
        <w:ind w:left="420" w:firstLineChars="0" w:firstLine="420"/>
        <w:jc w:val="left"/>
        <w:rPr>
          <w:rFonts w:asciiTheme="minorEastAsia" w:hAnsiTheme="minorEastAsia" w:hint="eastAsia"/>
          <w:i/>
          <w:iCs/>
          <w:color w:val="333333"/>
          <w:sz w:val="18"/>
          <w:szCs w:val="18"/>
        </w:rPr>
      </w:pPr>
      <w:r w:rsidRPr="008A494F">
        <w:rPr>
          <w:rFonts w:asciiTheme="minorEastAsia" w:hAnsiTheme="minorEastAsia"/>
          <w:i/>
          <w:iCs/>
          <w:color w:val="333333"/>
          <w:sz w:val="18"/>
          <w:szCs w:val="18"/>
        </w:rPr>
        <w:t>注：圆圈大小表示常住人口，颜色表示人口增长率，红色增长率高</w:t>
      </w:r>
    </w:p>
    <w:p w14:paraId="3E445818" w14:textId="77777777" w:rsidR="00744957" w:rsidRPr="008A494F" w:rsidRDefault="0027127C" w:rsidP="00AE180B">
      <w:pPr>
        <w:snapToGrid w:val="0"/>
        <w:spacing w:before="60" w:after="60" w:line="240" w:lineRule="auto"/>
        <w:ind w:firstLine="420"/>
        <w:jc w:val="center"/>
        <w:rPr>
          <w:rFonts w:asciiTheme="minorEastAsia" w:hAnsiTheme="minorEastAsia"/>
          <w:color w:val="333333"/>
          <w:szCs w:val="21"/>
        </w:rPr>
      </w:pPr>
      <w:r w:rsidRPr="008A494F">
        <w:rPr>
          <w:rFonts w:asciiTheme="minorEastAsia" w:hAnsiTheme="minorEastAsia"/>
          <w:color w:val="333333"/>
          <w:szCs w:val="21"/>
        </w:rPr>
        <w:t>图2 人口密度与生鲜电商密度关系图</w:t>
      </w:r>
    </w:p>
    <w:p w14:paraId="5EF470A0" w14:textId="65C4C07A" w:rsidR="00744957" w:rsidRPr="008A494F" w:rsidRDefault="008A494F" w:rsidP="00AE180B">
      <w:pPr>
        <w:snapToGrid w:val="0"/>
        <w:spacing w:before="60" w:after="60"/>
        <w:ind w:firstLineChars="0" w:firstLine="0"/>
        <w:jc w:val="center"/>
        <w:rPr>
          <w:rFonts w:asciiTheme="minorEastAsia" w:hAnsiTheme="minorEastAsia"/>
          <w:color w:val="333333"/>
          <w:szCs w:val="21"/>
        </w:rPr>
      </w:pPr>
      <w:r w:rsidRPr="008A494F">
        <w:rPr>
          <w:rFonts w:asciiTheme="minorEastAsia" w:hAnsiTheme="minorEastAsia"/>
          <w:noProof/>
          <w:color w:val="333333"/>
          <w:szCs w:val="21"/>
        </w:rPr>
        <w:lastRenderedPageBreak/>
        <w:drawing>
          <wp:inline distT="0" distB="0" distL="0" distR="0" wp14:anchorId="71C23C4B" wp14:editId="62262F67">
            <wp:extent cx="5331125" cy="3354791"/>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6281" cy="3364328"/>
                    </a:xfrm>
                    <a:prstGeom prst="rect">
                      <a:avLst/>
                    </a:prstGeom>
                    <a:noFill/>
                    <a:ln>
                      <a:noFill/>
                    </a:ln>
                  </pic:spPr>
                </pic:pic>
              </a:graphicData>
            </a:graphic>
          </wp:inline>
        </w:drawing>
      </w:r>
    </w:p>
    <w:p w14:paraId="62919725" w14:textId="77777777" w:rsidR="00744957" w:rsidRPr="008A494F" w:rsidRDefault="0027127C" w:rsidP="00AE180B">
      <w:pPr>
        <w:snapToGrid w:val="0"/>
        <w:spacing w:before="60" w:after="60" w:line="240" w:lineRule="auto"/>
        <w:ind w:left="420" w:firstLineChars="0" w:firstLine="420"/>
        <w:jc w:val="left"/>
        <w:rPr>
          <w:rFonts w:asciiTheme="minorEastAsia" w:hAnsiTheme="minorEastAsia"/>
          <w:i/>
          <w:iCs/>
          <w:color w:val="333333"/>
          <w:sz w:val="18"/>
          <w:szCs w:val="18"/>
        </w:rPr>
      </w:pPr>
      <w:r w:rsidRPr="008A494F">
        <w:rPr>
          <w:rFonts w:asciiTheme="minorEastAsia" w:hAnsiTheme="minorEastAsia"/>
          <w:i/>
          <w:iCs/>
          <w:color w:val="333333"/>
          <w:sz w:val="18"/>
          <w:szCs w:val="18"/>
        </w:rPr>
        <w:t>注：圆圈大小表示GDP，颜色表示人均GDP增长率，红色增长率高</w:t>
      </w:r>
    </w:p>
    <w:p w14:paraId="06604B4C" w14:textId="77777777" w:rsidR="00744957" w:rsidRPr="008A494F" w:rsidRDefault="0027127C" w:rsidP="00AE180B">
      <w:pPr>
        <w:snapToGrid w:val="0"/>
        <w:spacing w:before="60" w:after="60" w:line="240" w:lineRule="auto"/>
        <w:ind w:firstLine="420"/>
        <w:jc w:val="center"/>
        <w:rPr>
          <w:rFonts w:asciiTheme="minorEastAsia" w:hAnsiTheme="minorEastAsia"/>
          <w:color w:val="333333"/>
          <w:szCs w:val="21"/>
        </w:rPr>
      </w:pPr>
      <w:r w:rsidRPr="008A494F">
        <w:rPr>
          <w:rFonts w:asciiTheme="minorEastAsia" w:hAnsiTheme="minorEastAsia"/>
          <w:color w:val="333333"/>
          <w:szCs w:val="21"/>
        </w:rPr>
        <w:t>图3 人均地区生产总值与生鲜电商密度关系图</w:t>
      </w:r>
    </w:p>
    <w:p w14:paraId="373568D1" w14:textId="77777777" w:rsidR="00744957" w:rsidRPr="008A494F" w:rsidRDefault="0027127C" w:rsidP="00AE180B">
      <w:pPr>
        <w:pStyle w:val="4"/>
        <w:snapToGrid w:val="0"/>
        <w:spacing w:before="240" w:line="360" w:lineRule="auto"/>
        <w:ind w:firstLineChars="0" w:firstLine="0"/>
        <w:rPr>
          <w:rFonts w:asciiTheme="minorEastAsia" w:eastAsiaTheme="minorEastAsia" w:hAnsiTheme="minorEastAsia"/>
        </w:rPr>
      </w:pPr>
      <w:r w:rsidRPr="008A494F">
        <w:rPr>
          <w:rFonts w:asciiTheme="minorEastAsia" w:eastAsiaTheme="minorEastAsia" w:hAnsiTheme="minorEastAsia"/>
        </w:rPr>
        <w:t>数据分析与解读</w:t>
      </w:r>
    </w:p>
    <w:p w14:paraId="1702FB56" w14:textId="77777777" w:rsidR="00744957" w:rsidRPr="008A494F" w:rsidRDefault="0027127C" w:rsidP="00A42E8B">
      <w:pPr>
        <w:snapToGrid w:val="0"/>
        <w:ind w:firstLine="420"/>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为了更好的探究各区/县特点，本文采用聚类</w:t>
      </w:r>
      <w:hyperlink>
        <w:r w:rsidRPr="008A494F">
          <w:rPr>
            <w:rFonts w:asciiTheme="minorEastAsia" w:hAnsiTheme="minorEastAsia"/>
            <w:color w:val="262626"/>
            <w:szCs w:val="21"/>
            <w:u w:val="single"/>
            <w:shd w:val="clear" w:color="auto" w:fill="FFFFFF"/>
          </w:rPr>
          <w:t>方法（</w:t>
        </w:r>
      </w:hyperlink>
      <w:r w:rsidRPr="008A494F">
        <w:rPr>
          <w:rFonts w:asciiTheme="minorEastAsia" w:hAnsiTheme="minorEastAsia"/>
          <w:color w:val="262626"/>
          <w:szCs w:val="21"/>
          <w:shd w:val="clear" w:color="auto" w:fill="FFFFFF"/>
        </w:rPr>
        <w:t>属于无监督机器学习</w:t>
      </w:r>
      <w:hyperlink>
        <w:r w:rsidRPr="008A494F">
          <w:rPr>
            <w:rFonts w:asciiTheme="minorEastAsia" w:hAnsiTheme="minorEastAsia"/>
            <w:color w:val="262626"/>
            <w:szCs w:val="21"/>
            <w:u w:val="single"/>
            <w:shd w:val="clear" w:color="auto" w:fill="FFFFFF"/>
          </w:rPr>
          <w:t>）对</w:t>
        </w:r>
      </w:hyperlink>
      <w:r w:rsidRPr="008A494F">
        <w:rPr>
          <w:rFonts w:asciiTheme="minorEastAsia" w:hAnsiTheme="minorEastAsia"/>
          <w:color w:val="262626"/>
          <w:szCs w:val="21"/>
          <w:shd w:val="clear" w:color="auto" w:fill="FFFFFF"/>
        </w:rPr>
        <w:t>区/县</w:t>
      </w:r>
      <w:hyperlink>
        <w:r w:rsidRPr="008A494F">
          <w:rPr>
            <w:rFonts w:asciiTheme="minorEastAsia" w:hAnsiTheme="minorEastAsia"/>
            <w:color w:val="262626"/>
            <w:szCs w:val="21"/>
            <w:u w:val="single"/>
            <w:shd w:val="clear" w:color="auto" w:fill="FFFFFF"/>
          </w:rPr>
          <w:t>进行类别划分</w:t>
        </w:r>
      </w:hyperlink>
      <w:r w:rsidRPr="008A494F">
        <w:rPr>
          <w:rFonts w:asciiTheme="minorEastAsia" w:hAnsiTheme="minorEastAsia"/>
          <w:color w:val="262626"/>
          <w:szCs w:val="21"/>
          <w:shd w:val="clear" w:color="auto" w:fill="FFFFFF"/>
        </w:rPr>
        <w:t>，考察其在经济水平、人口情况、物价变动水平、生鲜电商水平等</w:t>
      </w:r>
      <w:r w:rsidRPr="008A494F">
        <w:rPr>
          <w:rFonts w:asciiTheme="minorEastAsia" w:hAnsiTheme="minorEastAsia"/>
          <w:b/>
          <w:bCs/>
          <w:color w:val="262626"/>
          <w:szCs w:val="21"/>
          <w:shd w:val="clear" w:color="auto" w:fill="FFFFFF"/>
        </w:rPr>
        <w:t>4个层面10个指标变量</w:t>
      </w:r>
      <w:r w:rsidRPr="008A494F">
        <w:rPr>
          <w:rFonts w:asciiTheme="minorEastAsia" w:hAnsiTheme="minorEastAsia"/>
          <w:color w:val="262626"/>
          <w:szCs w:val="21"/>
          <w:shd w:val="clear" w:color="auto" w:fill="FFFFFF"/>
        </w:rPr>
        <w:t>的聚类中心情况。10个指标变量均为数值变量，所以用K-Means模型进行聚类，并且在聚类前对各变量进行标准化处理。</w:t>
      </w:r>
    </w:p>
    <w:p w14:paraId="6870CAD0" w14:textId="77777777" w:rsidR="00744957" w:rsidRPr="008A494F" w:rsidRDefault="0027127C" w:rsidP="00A42E8B">
      <w:pPr>
        <w:snapToGrid w:val="0"/>
        <w:ind w:firstLine="420"/>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确定聚类类别个数为4（K=4）。确定使用K-Means算法后，需要确定K值即簇个数。本文综合手肘法和轮廓系数法进行簇个数的选择：1.手肘法，通过拟合模型来选择最佳聚类数K。纵坐标为误差平方和，最佳K值出现在曲线的拐点处（图4）；2.轮廓系数</w:t>
      </w:r>
      <w:hyperlink>
        <w:r w:rsidRPr="008A494F">
          <w:rPr>
            <w:rFonts w:asciiTheme="minorEastAsia" w:hAnsiTheme="minorEastAsia"/>
            <w:color w:val="262626"/>
            <w:szCs w:val="21"/>
            <w:shd w:val="clear" w:color="auto" w:fill="FFFFFF"/>
          </w:rPr>
          <w:t>法</w:t>
        </w:r>
      </w:hyperlink>
      <w:r w:rsidRPr="008A494F">
        <w:rPr>
          <w:rFonts w:asciiTheme="minorEastAsia" w:hAnsiTheme="minorEastAsia"/>
          <w:color w:val="262626"/>
          <w:szCs w:val="21"/>
          <w:shd w:val="clear" w:color="auto" w:fill="FFFFFF"/>
        </w:rPr>
        <w:t>，纵坐标为轮廓系数，以高取值处的K值作为最佳K值（图5）。综合</w:t>
      </w:r>
      <w:hyperlink>
        <w:r w:rsidRPr="008A494F">
          <w:rPr>
            <w:rFonts w:asciiTheme="minorEastAsia" w:hAnsiTheme="minorEastAsia"/>
            <w:color w:val="262626"/>
            <w:szCs w:val="21"/>
            <w:shd w:val="clear" w:color="auto" w:fill="FFFFFF"/>
          </w:rPr>
          <w:t>两</w:t>
        </w:r>
      </w:hyperlink>
      <w:r w:rsidRPr="008A494F">
        <w:rPr>
          <w:rFonts w:asciiTheme="minorEastAsia" w:hAnsiTheme="minorEastAsia"/>
          <w:color w:val="262626"/>
          <w:szCs w:val="21"/>
          <w:shd w:val="clear" w:color="auto" w:fill="FFFFFF"/>
        </w:rPr>
        <w:t>种方法的结果，选择4个类别进行聚类</w:t>
      </w:r>
      <w:hyperlink>
        <w:r w:rsidRPr="008A494F">
          <w:rPr>
            <w:rFonts w:asciiTheme="minorEastAsia" w:hAnsiTheme="minorEastAsia"/>
            <w:color w:val="262626"/>
            <w:szCs w:val="21"/>
            <w:shd w:val="clear" w:color="auto" w:fill="FFFFFF"/>
          </w:rPr>
          <w:t>，经实际测试，K=4时聚类效果好于其他值，无极小样本的地区类别，各类特征也较明显</w:t>
        </w:r>
      </w:hyperlink>
      <w:r w:rsidRPr="008A494F">
        <w:rPr>
          <w:rFonts w:asciiTheme="minorEastAsia" w:hAnsiTheme="minorEastAsia"/>
          <w:color w:val="262626"/>
          <w:szCs w:val="21"/>
          <w:shd w:val="clear" w:color="auto" w:fill="FFFFFF"/>
        </w:rPr>
        <w:t>。</w:t>
      </w:r>
    </w:p>
    <w:p w14:paraId="4A216CB9" w14:textId="7E69A65A" w:rsidR="00744957" w:rsidRPr="008A494F" w:rsidRDefault="00693D8A" w:rsidP="005D29C6">
      <w:pPr>
        <w:snapToGrid w:val="0"/>
        <w:ind w:firstLineChars="0" w:firstLine="0"/>
        <w:jc w:val="center"/>
        <w:rPr>
          <w:rFonts w:asciiTheme="minorEastAsia" w:hAnsiTheme="minorEastAsia"/>
          <w:color w:val="333333"/>
          <w:szCs w:val="21"/>
        </w:rPr>
      </w:pPr>
      <w:r w:rsidRPr="00693D8A">
        <w:rPr>
          <w:rFonts w:asciiTheme="minorEastAsia" w:hAnsiTheme="minorEastAsia"/>
          <w:noProof/>
          <w:color w:val="333333"/>
          <w:szCs w:val="21"/>
        </w:rPr>
        <w:drawing>
          <wp:inline distT="0" distB="0" distL="0" distR="0" wp14:anchorId="7664A38C" wp14:editId="6996F6D0">
            <wp:extent cx="2077213" cy="2113472"/>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6219" b="1"/>
                    <a:stretch/>
                  </pic:blipFill>
                  <pic:spPr bwMode="auto">
                    <a:xfrm>
                      <a:off x="0" y="0"/>
                      <a:ext cx="2086403" cy="2122823"/>
                    </a:xfrm>
                    <a:prstGeom prst="rect">
                      <a:avLst/>
                    </a:prstGeom>
                    <a:noFill/>
                    <a:ln>
                      <a:noFill/>
                    </a:ln>
                    <a:extLst>
                      <a:ext uri="{53640926-AAD7-44D8-BBD7-CCE9431645EC}">
                        <a14:shadowObscured xmlns:a14="http://schemas.microsoft.com/office/drawing/2010/main"/>
                      </a:ext>
                    </a:extLst>
                  </pic:spPr>
                </pic:pic>
              </a:graphicData>
            </a:graphic>
          </wp:inline>
        </w:drawing>
      </w:r>
      <w:r w:rsidR="00AE180B">
        <w:rPr>
          <w:rFonts w:asciiTheme="minorEastAsia" w:hAnsiTheme="minorEastAsia" w:hint="eastAsia"/>
          <w:color w:val="333333"/>
          <w:szCs w:val="21"/>
        </w:rPr>
        <w:t xml:space="preserve"> </w:t>
      </w:r>
      <w:r w:rsidR="00AE180B">
        <w:rPr>
          <w:rFonts w:asciiTheme="minorEastAsia" w:hAnsiTheme="minorEastAsia"/>
          <w:color w:val="333333"/>
          <w:szCs w:val="21"/>
        </w:rPr>
        <w:t xml:space="preserve">   </w:t>
      </w:r>
      <w:r>
        <w:rPr>
          <w:rFonts w:asciiTheme="minorEastAsia" w:hAnsiTheme="minorEastAsia"/>
          <w:noProof/>
          <w:color w:val="333333"/>
          <w:szCs w:val="21"/>
        </w:rPr>
        <w:drawing>
          <wp:inline distT="0" distB="0" distL="0" distR="0" wp14:anchorId="1D6D23A8" wp14:editId="17198CD2">
            <wp:extent cx="2084438" cy="2130725"/>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t="6580"/>
                    <a:stretch/>
                  </pic:blipFill>
                  <pic:spPr bwMode="auto">
                    <a:xfrm>
                      <a:off x="0" y="0"/>
                      <a:ext cx="2103099" cy="2149801"/>
                    </a:xfrm>
                    <a:prstGeom prst="rect">
                      <a:avLst/>
                    </a:prstGeom>
                    <a:noFill/>
                    <a:ln>
                      <a:noFill/>
                    </a:ln>
                    <a:extLst>
                      <a:ext uri="{53640926-AAD7-44D8-BBD7-CCE9431645EC}">
                        <a14:shadowObscured xmlns:a14="http://schemas.microsoft.com/office/drawing/2010/main"/>
                      </a:ext>
                    </a:extLst>
                  </pic:spPr>
                </pic:pic>
              </a:graphicData>
            </a:graphic>
          </wp:inline>
        </w:drawing>
      </w:r>
    </w:p>
    <w:p w14:paraId="38D97361" w14:textId="5A452302" w:rsidR="005D29C6" w:rsidRPr="00AE180B" w:rsidRDefault="0027127C" w:rsidP="00AE180B">
      <w:pPr>
        <w:snapToGrid w:val="0"/>
        <w:ind w:left="2100" w:firstLineChars="0" w:firstLine="420"/>
        <w:jc w:val="left"/>
        <w:rPr>
          <w:rFonts w:asciiTheme="minorEastAsia" w:hAnsiTheme="minorEastAsia" w:hint="eastAsia"/>
          <w:color w:val="333333"/>
          <w:szCs w:val="21"/>
        </w:rPr>
      </w:pPr>
      <w:r w:rsidRPr="008A494F">
        <w:rPr>
          <w:rFonts w:asciiTheme="minorEastAsia" w:hAnsiTheme="minorEastAsia"/>
          <w:color w:val="333333"/>
          <w:szCs w:val="21"/>
        </w:rPr>
        <w:t>图4 手肘</w:t>
      </w:r>
      <w:proofErr w:type="gramStart"/>
      <w:r w:rsidRPr="008A494F">
        <w:rPr>
          <w:rFonts w:asciiTheme="minorEastAsia" w:hAnsiTheme="minorEastAsia"/>
          <w:color w:val="333333"/>
          <w:szCs w:val="21"/>
        </w:rPr>
        <w:t>法结果图</w:t>
      </w:r>
      <w:proofErr w:type="gramEnd"/>
      <w:r w:rsidRPr="008A494F">
        <w:rPr>
          <w:rFonts w:asciiTheme="minorEastAsia" w:hAnsiTheme="minorEastAsia"/>
          <w:color w:val="333333"/>
          <w:szCs w:val="21"/>
        </w:rPr>
        <w:t xml:space="preserve">     </w:t>
      </w:r>
      <w:r w:rsidR="00693D8A">
        <w:rPr>
          <w:rFonts w:asciiTheme="minorEastAsia" w:hAnsiTheme="minorEastAsia"/>
          <w:color w:val="333333"/>
          <w:szCs w:val="21"/>
        </w:rPr>
        <w:tab/>
      </w:r>
      <w:r w:rsidR="00693D8A">
        <w:rPr>
          <w:rFonts w:asciiTheme="minorEastAsia" w:hAnsiTheme="minorEastAsia"/>
          <w:color w:val="333333"/>
          <w:szCs w:val="21"/>
        </w:rPr>
        <w:tab/>
      </w:r>
      <w:r w:rsidR="00693D8A">
        <w:rPr>
          <w:rFonts w:asciiTheme="minorEastAsia" w:hAnsiTheme="minorEastAsia"/>
          <w:color w:val="333333"/>
          <w:szCs w:val="21"/>
        </w:rPr>
        <w:tab/>
      </w:r>
      <w:r w:rsidRPr="008A494F">
        <w:rPr>
          <w:rFonts w:asciiTheme="minorEastAsia" w:hAnsiTheme="minorEastAsia"/>
          <w:color w:val="333333"/>
          <w:szCs w:val="21"/>
        </w:rPr>
        <w:t>图5 轮廓系数</w:t>
      </w:r>
      <w:proofErr w:type="gramStart"/>
      <w:r w:rsidRPr="008A494F">
        <w:rPr>
          <w:rFonts w:asciiTheme="minorEastAsia" w:hAnsiTheme="minorEastAsia"/>
          <w:color w:val="333333"/>
          <w:szCs w:val="21"/>
        </w:rPr>
        <w:t>法结果图</w:t>
      </w:r>
      <w:bookmarkStart w:id="0" w:name="_GoBack"/>
      <w:bookmarkEnd w:id="0"/>
      <w:proofErr w:type="gramEnd"/>
    </w:p>
    <w:p w14:paraId="71C625FB" w14:textId="77777777" w:rsidR="00744957" w:rsidRPr="008A494F" w:rsidRDefault="0027127C" w:rsidP="008A494F">
      <w:pPr>
        <w:snapToGrid w:val="0"/>
        <w:ind w:firstLineChars="0" w:firstLine="0"/>
        <w:jc w:val="left"/>
        <w:rPr>
          <w:rFonts w:asciiTheme="minorEastAsia" w:hAnsiTheme="minorEastAsia"/>
          <w:color w:val="333333"/>
          <w:szCs w:val="21"/>
        </w:rPr>
      </w:pPr>
      <w:r w:rsidRPr="008A494F">
        <w:rPr>
          <w:rFonts w:asciiTheme="minorEastAsia" w:hAnsiTheme="minorEastAsia"/>
          <w:color w:val="262626"/>
          <w:szCs w:val="21"/>
          <w:shd w:val="clear" w:color="auto" w:fill="FFFFFF"/>
        </w:rPr>
        <w:lastRenderedPageBreak/>
        <w:t>聚类所得四类地区包括热战区、优化区、潜力区、下沉区：</w:t>
      </w:r>
    </w:p>
    <w:p w14:paraId="59ABF702" w14:textId="77777777" w:rsidR="00744957" w:rsidRPr="008A494F" w:rsidRDefault="0027127C" w:rsidP="00A42E8B">
      <w:pPr>
        <w:numPr>
          <w:ilvl w:val="0"/>
          <w:numId w:val="34"/>
        </w:numPr>
        <w:snapToGrid w:val="0"/>
        <w:spacing w:before="60" w:after="60"/>
        <w:ind w:left="337" w:hangingChars="160" w:hanging="337"/>
        <w:jc w:val="left"/>
        <w:rPr>
          <w:rFonts w:asciiTheme="minorEastAsia" w:hAnsiTheme="minorEastAsia"/>
          <w:b/>
          <w:bCs/>
          <w:color w:val="333333"/>
          <w:szCs w:val="21"/>
        </w:rPr>
      </w:pPr>
      <w:r w:rsidRPr="008A494F">
        <w:rPr>
          <w:rFonts w:asciiTheme="minorEastAsia" w:hAnsiTheme="minorEastAsia"/>
          <w:b/>
          <w:bCs/>
          <w:color w:val="333333"/>
          <w:szCs w:val="21"/>
        </w:rPr>
        <w:t>热战区：如火如荼的主战场</w:t>
      </w:r>
    </w:p>
    <w:p w14:paraId="352FE610" w14:textId="77777777" w:rsidR="00744957" w:rsidRPr="008A494F" w:rsidRDefault="0027127C" w:rsidP="00A42E8B">
      <w:pPr>
        <w:snapToGrid w:val="0"/>
        <w:ind w:firstLine="420"/>
        <w:jc w:val="left"/>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如图6，此类地区有10个，包括深圳南山区，广州越秀区等。</w:t>
      </w:r>
    </w:p>
    <w:p w14:paraId="0999C197" w14:textId="77777777" w:rsidR="00744957" w:rsidRPr="008A494F" w:rsidRDefault="0027127C" w:rsidP="00A42E8B">
      <w:pPr>
        <w:snapToGrid w:val="0"/>
        <w:ind w:firstLine="420"/>
        <w:jc w:val="left"/>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此类地区的特点：经济人口规模极大，GDP增长速度中等，人口密度极高，人均地区生产总值高，生鲜电商密度高。生鲜电商属于市场集中度高，头部效应明显的行业，</w:t>
      </w:r>
      <w:r w:rsidRPr="008A494F">
        <w:rPr>
          <w:rFonts w:asciiTheme="minorEastAsia" w:hAnsiTheme="minorEastAsia"/>
          <w:b/>
          <w:bCs/>
          <w:color w:val="262626"/>
          <w:szCs w:val="21"/>
          <w:shd w:val="clear" w:color="auto" w:fill="FFFFFF"/>
        </w:rPr>
        <w:t>这样的地区正是市场巨头的必争之地，故将其定位为热战区</w:t>
      </w:r>
      <w:r w:rsidRPr="008A494F">
        <w:rPr>
          <w:rFonts w:asciiTheme="minorEastAsia" w:hAnsiTheme="minorEastAsia"/>
          <w:color w:val="262626"/>
          <w:szCs w:val="21"/>
          <w:shd w:val="clear" w:color="auto" w:fill="FFFFFF"/>
        </w:rPr>
        <w:t>。</w:t>
      </w:r>
    </w:p>
    <w:p w14:paraId="707F4737" w14:textId="77777777" w:rsidR="00744957" w:rsidRPr="008A494F" w:rsidRDefault="0027127C" w:rsidP="00A42E8B">
      <w:pPr>
        <w:numPr>
          <w:ilvl w:val="0"/>
          <w:numId w:val="34"/>
        </w:numPr>
        <w:snapToGrid w:val="0"/>
        <w:spacing w:before="60" w:after="60"/>
        <w:ind w:left="337" w:hangingChars="160" w:hanging="337"/>
        <w:jc w:val="left"/>
        <w:rPr>
          <w:rFonts w:asciiTheme="minorEastAsia" w:hAnsiTheme="minorEastAsia"/>
          <w:b/>
          <w:bCs/>
          <w:color w:val="333333"/>
          <w:szCs w:val="21"/>
        </w:rPr>
      </w:pPr>
      <w:r w:rsidRPr="008A494F">
        <w:rPr>
          <w:rFonts w:asciiTheme="minorEastAsia" w:hAnsiTheme="minorEastAsia"/>
          <w:b/>
          <w:bCs/>
          <w:color w:val="333333"/>
          <w:szCs w:val="21"/>
        </w:rPr>
        <w:t>优化区：精益求精的新贵族</w:t>
      </w:r>
    </w:p>
    <w:p w14:paraId="5DDBF2A1" w14:textId="77777777" w:rsidR="00744957" w:rsidRPr="008A494F" w:rsidRDefault="0027127C" w:rsidP="00A42E8B">
      <w:pPr>
        <w:snapToGrid w:val="0"/>
        <w:ind w:firstLine="420"/>
        <w:jc w:val="left"/>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如图7，这类地区有24个，包括惠州惠阳区，潮州潮安区等。</w:t>
      </w:r>
    </w:p>
    <w:p w14:paraId="28DDD6A3" w14:textId="617FEFEC" w:rsidR="005D29C6" w:rsidRPr="005D29C6" w:rsidRDefault="0027127C" w:rsidP="005D29C6">
      <w:pPr>
        <w:snapToGrid w:val="0"/>
        <w:ind w:firstLine="420"/>
        <w:jc w:val="left"/>
        <w:rPr>
          <w:rFonts w:asciiTheme="minorEastAsia" w:hAnsiTheme="minorEastAsia" w:hint="eastAsia"/>
          <w:color w:val="262626"/>
          <w:szCs w:val="21"/>
          <w:shd w:val="clear" w:color="auto" w:fill="FFFFFF"/>
        </w:rPr>
      </w:pPr>
      <w:r w:rsidRPr="008A494F">
        <w:rPr>
          <w:rFonts w:asciiTheme="minorEastAsia" w:hAnsiTheme="minorEastAsia"/>
          <w:color w:val="262626"/>
          <w:szCs w:val="21"/>
          <w:shd w:val="clear" w:color="auto" w:fill="FFFFFF"/>
        </w:rPr>
        <w:t>这类地区的特点，是经济人口规模较大，GDP增长速度中等，人口密度中等，人均地区生产总值较高，生鲜电商密度较高。这说明其市场规模较大，但发展潜力中等；其已有一定的生鲜电商布局，竞争较大；同时，中等的人口密度，使其不能像热战区一样方便地配送，故对单个网点的配送范围及仓储能力要求高。面对中等的市场潜力，较大的竞争及较高的运营管理要求，</w:t>
      </w:r>
      <w:r w:rsidRPr="008A494F">
        <w:rPr>
          <w:rFonts w:asciiTheme="minorEastAsia" w:hAnsiTheme="minorEastAsia"/>
          <w:b/>
          <w:bCs/>
          <w:color w:val="262626"/>
          <w:szCs w:val="21"/>
          <w:shd w:val="clear" w:color="auto" w:fill="FFFFFF"/>
        </w:rPr>
        <w:t>这类地区应注重经营而非盲目扩张，故将其定位为优化区。</w:t>
      </w:r>
    </w:p>
    <w:p w14:paraId="620EE0B5" w14:textId="72AA2DCB" w:rsidR="00DC22A6" w:rsidRPr="008A494F" w:rsidRDefault="00693D8A" w:rsidP="005D29C6">
      <w:pPr>
        <w:snapToGrid w:val="0"/>
        <w:spacing w:before="60" w:after="60"/>
        <w:ind w:firstLineChars="0" w:firstLine="0"/>
        <w:jc w:val="center"/>
        <w:rPr>
          <w:rFonts w:asciiTheme="minorEastAsia" w:hAnsiTheme="minorEastAsia"/>
          <w:noProof/>
          <w:color w:val="333333"/>
          <w:szCs w:val="21"/>
        </w:rPr>
      </w:pPr>
      <w:r>
        <w:rPr>
          <w:rFonts w:asciiTheme="minorEastAsia" w:hAnsiTheme="minorEastAsia"/>
          <w:noProof/>
          <w:color w:val="333333"/>
          <w:szCs w:val="21"/>
        </w:rPr>
        <w:drawing>
          <wp:inline distT="0" distB="0" distL="0" distR="0" wp14:anchorId="1EB2FD8D" wp14:editId="48CE7383">
            <wp:extent cx="2837234" cy="1837427"/>
            <wp:effectExtent l="0" t="0" r="127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1506" t="6799" r="8915" b="7268"/>
                    <a:stretch/>
                  </pic:blipFill>
                  <pic:spPr bwMode="auto">
                    <a:xfrm>
                      <a:off x="0" y="0"/>
                      <a:ext cx="2913317" cy="188669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heme="minorEastAsia" w:hAnsiTheme="minorEastAsia"/>
          <w:noProof/>
          <w:color w:val="333333"/>
          <w:szCs w:val="21"/>
        </w:rPr>
        <w:drawing>
          <wp:inline distT="0" distB="0" distL="0" distR="0" wp14:anchorId="16FAFB22" wp14:editId="60E427B2">
            <wp:extent cx="2777706" cy="1857509"/>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8731" t="1534" r="16373" b="1313"/>
                    <a:stretch/>
                  </pic:blipFill>
                  <pic:spPr bwMode="auto">
                    <a:xfrm>
                      <a:off x="0" y="0"/>
                      <a:ext cx="2821804" cy="1886998"/>
                    </a:xfrm>
                    <a:prstGeom prst="rect">
                      <a:avLst/>
                    </a:prstGeom>
                    <a:noFill/>
                    <a:ln>
                      <a:noFill/>
                    </a:ln>
                    <a:extLst>
                      <a:ext uri="{53640926-AAD7-44D8-BBD7-CCE9431645EC}">
                        <a14:shadowObscured xmlns:a14="http://schemas.microsoft.com/office/drawing/2010/main"/>
                      </a:ext>
                    </a:extLst>
                  </pic:spPr>
                </pic:pic>
              </a:graphicData>
            </a:graphic>
          </wp:inline>
        </w:drawing>
      </w:r>
    </w:p>
    <w:p w14:paraId="5435A844" w14:textId="28705E4E" w:rsidR="00744957" w:rsidRPr="008A494F" w:rsidRDefault="00DC22A6" w:rsidP="005D29C6">
      <w:pPr>
        <w:snapToGrid w:val="0"/>
        <w:spacing w:before="60" w:after="60"/>
        <w:ind w:left="840" w:firstLine="420"/>
        <w:rPr>
          <w:rFonts w:asciiTheme="minorEastAsia" w:hAnsiTheme="minorEastAsia"/>
          <w:color w:val="333333"/>
          <w:szCs w:val="21"/>
        </w:rPr>
      </w:pPr>
      <w:r w:rsidRPr="008A494F">
        <w:rPr>
          <w:rFonts w:asciiTheme="minorEastAsia" w:hAnsiTheme="minorEastAsia"/>
          <w:color w:val="333333"/>
          <w:szCs w:val="21"/>
        </w:rPr>
        <w:t xml:space="preserve">图6 热战区聚类中心特征                  </w:t>
      </w:r>
      <w:r w:rsidR="005D29C6">
        <w:rPr>
          <w:rFonts w:asciiTheme="minorEastAsia" w:hAnsiTheme="minorEastAsia"/>
          <w:color w:val="333333"/>
          <w:szCs w:val="21"/>
        </w:rPr>
        <w:tab/>
      </w:r>
      <w:r w:rsidR="0027127C" w:rsidRPr="008A494F">
        <w:rPr>
          <w:rFonts w:asciiTheme="minorEastAsia" w:hAnsiTheme="minorEastAsia"/>
          <w:color w:val="333333"/>
          <w:szCs w:val="21"/>
        </w:rPr>
        <w:t xml:space="preserve">图7 </w:t>
      </w:r>
      <w:proofErr w:type="gramStart"/>
      <w:r w:rsidR="0027127C" w:rsidRPr="008A494F">
        <w:rPr>
          <w:rFonts w:asciiTheme="minorEastAsia" w:hAnsiTheme="minorEastAsia"/>
          <w:color w:val="333333"/>
          <w:szCs w:val="21"/>
        </w:rPr>
        <w:t>优化区</w:t>
      </w:r>
      <w:proofErr w:type="gramEnd"/>
      <w:r w:rsidR="0027127C" w:rsidRPr="008A494F">
        <w:rPr>
          <w:rFonts w:asciiTheme="minorEastAsia" w:hAnsiTheme="minorEastAsia"/>
          <w:color w:val="333333"/>
          <w:szCs w:val="21"/>
        </w:rPr>
        <w:t>聚类中心特征</w:t>
      </w:r>
    </w:p>
    <w:p w14:paraId="29851D69" w14:textId="77777777" w:rsidR="00744957" w:rsidRPr="008A494F" w:rsidRDefault="0027127C" w:rsidP="00A42E8B">
      <w:pPr>
        <w:numPr>
          <w:ilvl w:val="0"/>
          <w:numId w:val="34"/>
        </w:numPr>
        <w:snapToGrid w:val="0"/>
        <w:spacing w:before="60" w:after="60"/>
        <w:ind w:left="337" w:hangingChars="160" w:hanging="337"/>
        <w:jc w:val="left"/>
        <w:rPr>
          <w:rFonts w:asciiTheme="minorEastAsia" w:hAnsiTheme="minorEastAsia"/>
          <w:b/>
          <w:bCs/>
          <w:color w:val="333333"/>
          <w:szCs w:val="21"/>
        </w:rPr>
      </w:pPr>
      <w:r w:rsidRPr="008A494F">
        <w:rPr>
          <w:rFonts w:asciiTheme="minorEastAsia" w:hAnsiTheme="minorEastAsia"/>
          <w:b/>
          <w:bCs/>
          <w:color w:val="333333"/>
          <w:szCs w:val="21"/>
        </w:rPr>
        <w:t xml:space="preserve"> 潜力区：精致的潜力股</w:t>
      </w:r>
    </w:p>
    <w:p w14:paraId="72C5FD6A" w14:textId="77777777" w:rsidR="00744957" w:rsidRPr="008A494F" w:rsidRDefault="0027127C" w:rsidP="00A42E8B">
      <w:pPr>
        <w:snapToGrid w:val="0"/>
        <w:ind w:firstLine="420"/>
        <w:jc w:val="left"/>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如图8，此类地区有54个，包括佛山高明区，</w:t>
      </w:r>
      <w:hyperlink>
        <w:r w:rsidRPr="008A494F">
          <w:rPr>
            <w:rFonts w:asciiTheme="minorEastAsia" w:hAnsiTheme="minorEastAsia"/>
            <w:color w:val="262626"/>
            <w:szCs w:val="21"/>
            <w:u w:val="single"/>
            <w:shd w:val="clear" w:color="auto" w:fill="FFFFFF"/>
          </w:rPr>
          <w:t>东莞</w:t>
        </w:r>
      </w:hyperlink>
      <w:r w:rsidRPr="008A494F">
        <w:rPr>
          <w:rFonts w:asciiTheme="minorEastAsia" w:hAnsiTheme="minorEastAsia"/>
          <w:color w:val="262626"/>
          <w:szCs w:val="21"/>
          <w:shd w:val="clear" w:color="auto" w:fill="FFFFFF"/>
        </w:rPr>
        <w:t>虎门镇等。</w:t>
      </w:r>
    </w:p>
    <w:p w14:paraId="3097B528" w14:textId="77777777" w:rsidR="00744957" w:rsidRPr="008A494F" w:rsidRDefault="0027127C" w:rsidP="00A42E8B">
      <w:pPr>
        <w:snapToGrid w:val="0"/>
        <w:ind w:firstLine="420"/>
        <w:jc w:val="left"/>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这类地区的特点：经济人口规模较小，GDP增长速度较高，人口密度较高，人均地区生产总值较高，CPI高，生鲜电商密度低。其经济人口规模虽然较小，但这类地区有2/3为东莞、中山两市的镇级行政区（两市无区级行政区），较细的分割不能较好展现这类地区的经济规模；其较高的人均生产总值及人口密度，也反应了该区高质量的经济人口水平，比较“精致”。同时，GDP增速大，说明该类地区的发展潜力大；当前生鲜电商密度低，很可能无法满足该类地区未来的发展需求。</w:t>
      </w:r>
      <w:r w:rsidRPr="008A494F">
        <w:rPr>
          <w:rFonts w:asciiTheme="minorEastAsia" w:hAnsiTheme="minorEastAsia"/>
          <w:b/>
          <w:bCs/>
          <w:color w:val="262626"/>
          <w:szCs w:val="21"/>
          <w:shd w:val="clear" w:color="auto" w:fill="FFFFFF"/>
        </w:rPr>
        <w:t>这类地区经济人口水平质量高，发展潜力大，如精致的潜力股，属于潜力区。</w:t>
      </w:r>
    </w:p>
    <w:p w14:paraId="4B1EECE7" w14:textId="77777777" w:rsidR="00744957" w:rsidRPr="008A494F" w:rsidRDefault="0027127C" w:rsidP="00A42E8B">
      <w:pPr>
        <w:numPr>
          <w:ilvl w:val="0"/>
          <w:numId w:val="34"/>
        </w:numPr>
        <w:snapToGrid w:val="0"/>
        <w:spacing w:before="60" w:after="60"/>
        <w:ind w:left="337" w:hangingChars="160" w:hanging="337"/>
        <w:jc w:val="left"/>
        <w:rPr>
          <w:rFonts w:asciiTheme="minorEastAsia" w:hAnsiTheme="minorEastAsia"/>
          <w:b/>
          <w:bCs/>
          <w:color w:val="333333"/>
          <w:szCs w:val="21"/>
        </w:rPr>
      </w:pPr>
      <w:r w:rsidRPr="008A494F">
        <w:rPr>
          <w:rFonts w:asciiTheme="minorEastAsia" w:hAnsiTheme="minorEastAsia"/>
          <w:b/>
          <w:bCs/>
          <w:color w:val="333333"/>
          <w:szCs w:val="21"/>
        </w:rPr>
        <w:t>下沉区：沉默的大多数</w:t>
      </w:r>
    </w:p>
    <w:p w14:paraId="7C733EB1" w14:textId="77777777" w:rsidR="00744957" w:rsidRPr="008A494F" w:rsidRDefault="0027127C" w:rsidP="00A42E8B">
      <w:pPr>
        <w:snapToGrid w:val="0"/>
        <w:ind w:firstLine="420"/>
        <w:jc w:val="left"/>
        <w:rPr>
          <w:rFonts w:asciiTheme="minorEastAsia" w:hAnsiTheme="minorEastAsia"/>
          <w:color w:val="262626"/>
          <w:szCs w:val="21"/>
          <w:shd w:val="clear" w:color="auto" w:fill="FFC8B8"/>
        </w:rPr>
      </w:pPr>
      <w:r w:rsidRPr="008A494F">
        <w:rPr>
          <w:rFonts w:asciiTheme="minorEastAsia" w:hAnsiTheme="minorEastAsia"/>
          <w:color w:val="333333"/>
          <w:szCs w:val="21"/>
        </w:rPr>
        <w:t>如图9，此类地区有97个，包括韶关乐昌市，梅州梅江区等。</w:t>
      </w:r>
    </w:p>
    <w:p w14:paraId="6C391844" w14:textId="54C21B04" w:rsidR="00744957" w:rsidRPr="008A494F" w:rsidRDefault="0027127C" w:rsidP="00A42E8B">
      <w:pPr>
        <w:snapToGrid w:val="0"/>
        <w:ind w:firstLine="420"/>
        <w:jc w:val="left"/>
        <w:rPr>
          <w:rFonts w:asciiTheme="minorEastAsia" w:hAnsiTheme="minorEastAsia"/>
          <w:b/>
          <w:bCs/>
          <w:color w:val="262626"/>
          <w:szCs w:val="21"/>
        </w:rPr>
      </w:pPr>
      <w:r w:rsidRPr="008A494F">
        <w:rPr>
          <w:rFonts w:asciiTheme="minorEastAsia" w:hAnsiTheme="minorEastAsia"/>
          <w:color w:val="262626"/>
          <w:szCs w:val="21"/>
          <w:shd w:val="clear" w:color="auto" w:fill="FFFFFF"/>
        </w:rPr>
        <w:lastRenderedPageBreak/>
        <w:t>这类地区特点是</w:t>
      </w:r>
      <w:r w:rsidRPr="008A494F">
        <w:rPr>
          <w:rFonts w:asciiTheme="minorEastAsia" w:hAnsiTheme="minorEastAsia"/>
          <w:color w:val="333333"/>
          <w:szCs w:val="21"/>
        </w:rPr>
        <w:t>经济人口规模小</w:t>
      </w:r>
      <w:r w:rsidRPr="008A494F">
        <w:rPr>
          <w:rFonts w:asciiTheme="minorEastAsia" w:hAnsiTheme="minorEastAsia"/>
          <w:color w:val="262626"/>
          <w:szCs w:val="21"/>
          <w:shd w:val="clear" w:color="auto" w:fill="FFFFFF"/>
        </w:rPr>
        <w:t>，</w:t>
      </w:r>
      <w:r w:rsidRPr="008A494F">
        <w:rPr>
          <w:rFonts w:asciiTheme="minorEastAsia" w:hAnsiTheme="minorEastAsia"/>
          <w:color w:val="333333"/>
          <w:szCs w:val="21"/>
        </w:rPr>
        <w:t>GDP增长率低</w:t>
      </w:r>
      <w:r w:rsidRPr="008A494F">
        <w:rPr>
          <w:rFonts w:asciiTheme="minorEastAsia" w:hAnsiTheme="minorEastAsia"/>
          <w:color w:val="262626"/>
          <w:szCs w:val="21"/>
          <w:shd w:val="clear" w:color="auto" w:fill="FFFFFF"/>
        </w:rPr>
        <w:t>，人口密度低，人均地区生产总值低，生鲜电商密度低。这说明其市场规模及发展潜力小；该类地区多为各市的</w:t>
      </w:r>
      <w:r w:rsidRPr="008A494F">
        <w:rPr>
          <w:rFonts w:asciiTheme="minorEastAsia" w:hAnsiTheme="minorEastAsia"/>
          <w:b/>
          <w:bCs/>
          <w:color w:val="262626"/>
          <w:szCs w:val="21"/>
          <w:shd w:val="clear" w:color="auto" w:fill="FFFFFF"/>
        </w:rPr>
        <w:t>农业地区，靠近生鲜产业链的源头</w:t>
      </w:r>
      <w:r w:rsidRPr="008A494F">
        <w:rPr>
          <w:rFonts w:asciiTheme="minorEastAsia" w:hAnsiTheme="minorEastAsia"/>
          <w:color w:val="262626"/>
          <w:szCs w:val="21"/>
          <w:shd w:val="clear" w:color="auto" w:fill="FFFFFF"/>
        </w:rPr>
        <w:t>，</w:t>
      </w:r>
      <w:r w:rsidRPr="008A494F">
        <w:rPr>
          <w:rFonts w:asciiTheme="minorEastAsia" w:hAnsiTheme="minorEastAsia"/>
          <w:color w:val="262626"/>
          <w:szCs w:val="21"/>
        </w:rPr>
        <w:t>传统菜市场较多；同时这类地区收入较低，下沉人群较多。生鲜电商市场及潜力较小，应对该区采取针对下沉市场的差异化经营策略。</w:t>
      </w:r>
      <w:r w:rsidRPr="008A494F">
        <w:rPr>
          <w:rFonts w:asciiTheme="minorEastAsia" w:hAnsiTheme="minorEastAsia"/>
          <w:b/>
          <w:bCs/>
          <w:color w:val="262626"/>
          <w:szCs w:val="21"/>
        </w:rPr>
        <w:t>故称该区为下沉区。</w:t>
      </w:r>
    </w:p>
    <w:p w14:paraId="171EA2BD" w14:textId="05ABBCA3" w:rsidR="00DC22A6" w:rsidRPr="008A494F" w:rsidRDefault="00693D8A" w:rsidP="005D29C6">
      <w:pPr>
        <w:snapToGrid w:val="0"/>
        <w:spacing w:before="60" w:after="60"/>
        <w:ind w:firstLineChars="0" w:firstLine="0"/>
        <w:jc w:val="center"/>
        <w:rPr>
          <w:rFonts w:asciiTheme="minorEastAsia" w:hAnsiTheme="minorEastAsia"/>
          <w:color w:val="333333"/>
          <w:szCs w:val="21"/>
        </w:rPr>
      </w:pPr>
      <w:r>
        <w:rPr>
          <w:rFonts w:asciiTheme="minorEastAsia" w:hAnsiTheme="minorEastAsia"/>
          <w:noProof/>
          <w:color w:val="333333"/>
          <w:szCs w:val="21"/>
        </w:rPr>
        <w:drawing>
          <wp:inline distT="0" distB="0" distL="0" distR="0" wp14:anchorId="176AE1E5" wp14:editId="6056A4D3">
            <wp:extent cx="2805297" cy="187133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1913" t="6416" r="9461" b="6630"/>
                    <a:stretch/>
                  </pic:blipFill>
                  <pic:spPr bwMode="auto">
                    <a:xfrm>
                      <a:off x="0" y="0"/>
                      <a:ext cx="2847812" cy="1899693"/>
                    </a:xfrm>
                    <a:prstGeom prst="rect">
                      <a:avLst/>
                    </a:prstGeom>
                    <a:noFill/>
                    <a:ln>
                      <a:noFill/>
                    </a:ln>
                    <a:extLst>
                      <a:ext uri="{53640926-AAD7-44D8-BBD7-CCE9431645EC}">
                        <a14:shadowObscured xmlns:a14="http://schemas.microsoft.com/office/drawing/2010/main"/>
                      </a:ext>
                    </a:extLst>
                  </pic:spPr>
                </pic:pic>
              </a:graphicData>
            </a:graphic>
          </wp:inline>
        </w:drawing>
      </w:r>
      <w:r w:rsidR="005D29C6">
        <w:rPr>
          <w:rFonts w:asciiTheme="minorEastAsia" w:hAnsiTheme="minorEastAsia"/>
          <w:noProof/>
          <w:color w:val="333333"/>
          <w:szCs w:val="21"/>
        </w:rPr>
        <w:drawing>
          <wp:inline distT="0" distB="0" distL="0" distR="0" wp14:anchorId="1845EC45" wp14:editId="78F19E26">
            <wp:extent cx="2851959" cy="1931894"/>
            <wp:effectExtent l="0" t="0" r="571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19175" t="1697" r="17220" b="2036"/>
                    <a:stretch/>
                  </pic:blipFill>
                  <pic:spPr bwMode="auto">
                    <a:xfrm>
                      <a:off x="0" y="0"/>
                      <a:ext cx="2869892" cy="1944041"/>
                    </a:xfrm>
                    <a:prstGeom prst="rect">
                      <a:avLst/>
                    </a:prstGeom>
                    <a:noFill/>
                    <a:ln>
                      <a:noFill/>
                    </a:ln>
                    <a:extLst>
                      <a:ext uri="{53640926-AAD7-44D8-BBD7-CCE9431645EC}">
                        <a14:shadowObscured xmlns:a14="http://schemas.microsoft.com/office/drawing/2010/main"/>
                      </a:ext>
                    </a:extLst>
                  </pic:spPr>
                </pic:pic>
              </a:graphicData>
            </a:graphic>
          </wp:inline>
        </w:drawing>
      </w:r>
    </w:p>
    <w:p w14:paraId="22A25070" w14:textId="5DF07C33" w:rsidR="00DC22A6" w:rsidRPr="008A494F" w:rsidRDefault="00DC22A6" w:rsidP="005D29C6">
      <w:pPr>
        <w:snapToGrid w:val="0"/>
        <w:spacing w:before="60" w:after="60"/>
        <w:ind w:left="840" w:firstLineChars="0" w:firstLine="420"/>
        <w:rPr>
          <w:rFonts w:asciiTheme="minorEastAsia" w:hAnsiTheme="minorEastAsia" w:hint="eastAsia"/>
          <w:color w:val="333333"/>
          <w:szCs w:val="21"/>
        </w:rPr>
      </w:pPr>
      <w:r w:rsidRPr="008A494F">
        <w:rPr>
          <w:rFonts w:asciiTheme="minorEastAsia" w:hAnsiTheme="minorEastAsia"/>
          <w:color w:val="333333"/>
          <w:szCs w:val="21"/>
        </w:rPr>
        <w:t>图8 潜力区聚类中心特征</w:t>
      </w:r>
      <w:r w:rsidRPr="008A494F">
        <w:rPr>
          <w:rFonts w:asciiTheme="minorEastAsia" w:hAnsiTheme="minorEastAsia" w:hint="eastAsia"/>
          <w:color w:val="333333"/>
          <w:szCs w:val="21"/>
        </w:rPr>
        <w:t xml:space="preserve"> </w:t>
      </w:r>
      <w:r w:rsidRPr="008A494F">
        <w:rPr>
          <w:rFonts w:asciiTheme="minorEastAsia" w:hAnsiTheme="minorEastAsia"/>
          <w:color w:val="333333"/>
          <w:szCs w:val="21"/>
        </w:rPr>
        <w:t xml:space="preserve">               </w:t>
      </w:r>
      <w:r w:rsidR="005D29C6">
        <w:rPr>
          <w:rFonts w:asciiTheme="minorEastAsia" w:hAnsiTheme="minorEastAsia"/>
          <w:color w:val="333333"/>
          <w:szCs w:val="21"/>
        </w:rPr>
        <w:tab/>
      </w:r>
      <w:r w:rsidR="005D29C6">
        <w:rPr>
          <w:rFonts w:asciiTheme="minorEastAsia" w:hAnsiTheme="minorEastAsia"/>
          <w:color w:val="333333"/>
          <w:szCs w:val="21"/>
        </w:rPr>
        <w:tab/>
      </w:r>
      <w:r w:rsidR="0027127C" w:rsidRPr="008A494F">
        <w:rPr>
          <w:rFonts w:asciiTheme="minorEastAsia" w:hAnsiTheme="minorEastAsia"/>
          <w:color w:val="333333"/>
          <w:szCs w:val="21"/>
        </w:rPr>
        <w:t>图9 潜力区聚类中心特征</w:t>
      </w:r>
    </w:p>
    <w:p w14:paraId="3FEE0FBE" w14:textId="77777777" w:rsidR="00744957" w:rsidRPr="008A494F" w:rsidRDefault="0027127C" w:rsidP="00A42E8B">
      <w:pPr>
        <w:pStyle w:val="4"/>
        <w:snapToGrid w:val="0"/>
        <w:spacing w:line="360" w:lineRule="auto"/>
        <w:ind w:firstLineChars="0" w:firstLine="0"/>
        <w:rPr>
          <w:rFonts w:asciiTheme="minorEastAsia" w:eastAsiaTheme="minorEastAsia" w:hAnsiTheme="minorEastAsia"/>
        </w:rPr>
      </w:pPr>
      <w:r w:rsidRPr="008A494F">
        <w:rPr>
          <w:rFonts w:asciiTheme="minorEastAsia" w:eastAsiaTheme="minorEastAsia" w:hAnsiTheme="minorEastAsia"/>
        </w:rPr>
        <w:t>商业应用与总结</w:t>
      </w:r>
    </w:p>
    <w:p w14:paraId="2ADECEDB" w14:textId="77777777" w:rsidR="00744957" w:rsidRPr="008A494F" w:rsidRDefault="0027127C" w:rsidP="00A42E8B">
      <w:pPr>
        <w:pStyle w:val="5"/>
        <w:snapToGrid w:val="0"/>
        <w:spacing w:line="360" w:lineRule="auto"/>
        <w:ind w:firstLineChars="0" w:firstLine="0"/>
        <w:rPr>
          <w:rFonts w:asciiTheme="minorEastAsia" w:hAnsiTheme="minorEastAsia"/>
        </w:rPr>
      </w:pPr>
      <w:r w:rsidRPr="008A494F">
        <w:rPr>
          <w:rFonts w:asciiTheme="minorEastAsia" w:hAnsiTheme="minorEastAsia"/>
        </w:rPr>
        <w:t>商业应用——因地制宜，发现机遇</w:t>
      </w:r>
    </w:p>
    <w:p w14:paraId="2C817438" w14:textId="361FC91A" w:rsidR="005D29C6" w:rsidRDefault="0027127C" w:rsidP="00AE180B">
      <w:pPr>
        <w:snapToGrid w:val="0"/>
        <w:ind w:firstLine="420"/>
        <w:rPr>
          <w:rFonts w:asciiTheme="minorEastAsia" w:hAnsiTheme="minorEastAsia" w:hint="eastAsia"/>
          <w:color w:val="333333"/>
          <w:szCs w:val="21"/>
        </w:rPr>
      </w:pPr>
      <w:r w:rsidRPr="008A494F">
        <w:rPr>
          <w:rFonts w:asciiTheme="minorEastAsia" w:hAnsiTheme="minorEastAsia"/>
          <w:color w:val="333333"/>
          <w:szCs w:val="21"/>
        </w:rPr>
        <w:t>热战区经济规模大，人口密度高，生鲜电商密度高；</w:t>
      </w:r>
      <w:proofErr w:type="gramStart"/>
      <w:r w:rsidRPr="008A494F">
        <w:rPr>
          <w:rFonts w:asciiTheme="minorEastAsia" w:hAnsiTheme="minorEastAsia"/>
          <w:color w:val="333333"/>
          <w:szCs w:val="21"/>
        </w:rPr>
        <w:t>优化区</w:t>
      </w:r>
      <w:proofErr w:type="gramEnd"/>
      <w:r w:rsidRPr="008A494F">
        <w:rPr>
          <w:rFonts w:asciiTheme="minorEastAsia" w:hAnsiTheme="minorEastAsia"/>
          <w:color w:val="333333"/>
          <w:szCs w:val="21"/>
        </w:rPr>
        <w:t>经济规模较大，人口密度中等，GDP增长率中等，生鲜电商密度较高；潜力区经济规模中等，人口密度较大，GDP增长率较高，生鲜电商密度低；下沉区经济规模小，人口密度小，GDP增长率低，生鲜电商密度低。</w:t>
      </w:r>
    </w:p>
    <w:p w14:paraId="18B6B347" w14:textId="2980F429" w:rsidR="00744957" w:rsidRPr="008A494F" w:rsidRDefault="005D29C6" w:rsidP="005D29C6">
      <w:pPr>
        <w:snapToGrid w:val="0"/>
        <w:ind w:firstLineChars="0" w:firstLine="0"/>
        <w:jc w:val="center"/>
        <w:rPr>
          <w:rFonts w:asciiTheme="minorEastAsia" w:hAnsiTheme="minorEastAsia" w:hint="eastAsia"/>
          <w:color w:val="333333"/>
          <w:szCs w:val="21"/>
        </w:rPr>
      </w:pPr>
      <w:r w:rsidRPr="005D29C6">
        <w:rPr>
          <w:rFonts w:asciiTheme="minorEastAsia" w:hAnsiTheme="minorEastAsia"/>
          <w:noProof/>
          <w:color w:val="333333"/>
          <w:szCs w:val="21"/>
        </w:rPr>
        <w:drawing>
          <wp:inline distT="0" distB="0" distL="0" distR="0" wp14:anchorId="566B3497" wp14:editId="3F35117F">
            <wp:extent cx="5391510" cy="3286760"/>
            <wp:effectExtent l="0" t="0" r="0"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a:extLst>
                        <a:ext uri="{28A0092B-C50C-407E-A947-70E740481C1C}">
                          <a14:useLocalDpi xmlns:a14="http://schemas.microsoft.com/office/drawing/2010/main" val="0"/>
                        </a:ext>
                      </a:extLst>
                    </a:blip>
                    <a:srcRect r="12881"/>
                    <a:stretch/>
                  </pic:blipFill>
                  <pic:spPr bwMode="auto">
                    <a:xfrm>
                      <a:off x="0" y="0"/>
                      <a:ext cx="5391510" cy="3286760"/>
                    </a:xfrm>
                    <a:prstGeom prst="rect">
                      <a:avLst/>
                    </a:prstGeom>
                    <a:noFill/>
                    <a:ln>
                      <a:noFill/>
                    </a:ln>
                    <a:extLst>
                      <a:ext uri="{53640926-AAD7-44D8-BBD7-CCE9431645EC}">
                        <a14:shadowObscured xmlns:a14="http://schemas.microsoft.com/office/drawing/2010/main"/>
                      </a:ext>
                    </a:extLst>
                  </pic:spPr>
                </pic:pic>
              </a:graphicData>
            </a:graphic>
          </wp:inline>
        </w:drawing>
      </w:r>
    </w:p>
    <w:p w14:paraId="34085940" w14:textId="77777777" w:rsidR="00744957" w:rsidRPr="008A494F" w:rsidRDefault="0027127C" w:rsidP="008A494F">
      <w:pPr>
        <w:snapToGrid w:val="0"/>
        <w:spacing w:before="60" w:after="60" w:line="240" w:lineRule="auto"/>
        <w:ind w:firstLineChars="483" w:firstLine="869"/>
        <w:jc w:val="left"/>
        <w:rPr>
          <w:rFonts w:asciiTheme="minorEastAsia" w:hAnsiTheme="minorEastAsia"/>
          <w:i/>
          <w:iCs/>
          <w:color w:val="333333"/>
          <w:sz w:val="18"/>
          <w:szCs w:val="18"/>
        </w:rPr>
      </w:pPr>
      <w:r w:rsidRPr="008A494F">
        <w:rPr>
          <w:rFonts w:asciiTheme="minorEastAsia" w:hAnsiTheme="minorEastAsia"/>
          <w:i/>
          <w:iCs/>
          <w:color w:val="333333"/>
          <w:sz w:val="18"/>
          <w:szCs w:val="18"/>
        </w:rPr>
        <w:t>注：圆圈大小表示地区生产总值</w:t>
      </w:r>
    </w:p>
    <w:p w14:paraId="246AEAAB" w14:textId="34B97A50" w:rsidR="005D29C6" w:rsidRDefault="0027127C" w:rsidP="005D29C6">
      <w:pPr>
        <w:snapToGrid w:val="0"/>
        <w:spacing w:before="60" w:after="60"/>
        <w:ind w:firstLine="420"/>
        <w:jc w:val="center"/>
        <w:rPr>
          <w:rFonts w:asciiTheme="minorEastAsia" w:hAnsiTheme="minorEastAsia" w:hint="eastAsia"/>
          <w:color w:val="333333"/>
          <w:szCs w:val="21"/>
        </w:rPr>
      </w:pPr>
      <w:r w:rsidRPr="008A494F">
        <w:rPr>
          <w:rFonts w:asciiTheme="minorEastAsia" w:hAnsiTheme="minorEastAsia"/>
          <w:color w:val="333333"/>
          <w:szCs w:val="21"/>
        </w:rPr>
        <w:t>图10 生鲜电商密度与人口密度聚类结果</w:t>
      </w:r>
    </w:p>
    <w:p w14:paraId="300CCB60" w14:textId="2522001C" w:rsidR="00744957" w:rsidRPr="008A494F" w:rsidRDefault="005D29C6" w:rsidP="005D29C6">
      <w:pPr>
        <w:snapToGrid w:val="0"/>
        <w:spacing w:before="60" w:after="60"/>
        <w:ind w:firstLineChars="0" w:firstLine="0"/>
        <w:jc w:val="center"/>
        <w:rPr>
          <w:rFonts w:asciiTheme="minorEastAsia" w:hAnsiTheme="minorEastAsia"/>
          <w:color w:val="333333"/>
          <w:szCs w:val="21"/>
        </w:rPr>
      </w:pPr>
      <w:r w:rsidRPr="005D29C6">
        <w:rPr>
          <w:rFonts w:asciiTheme="minorEastAsia" w:hAnsiTheme="minorEastAsia"/>
          <w:noProof/>
          <w:color w:val="333333"/>
          <w:szCs w:val="21"/>
        </w:rPr>
        <w:lastRenderedPageBreak/>
        <w:drawing>
          <wp:inline distT="0" distB="0" distL="0" distR="0" wp14:anchorId="1A2280AA" wp14:editId="42DFF760">
            <wp:extent cx="5408762" cy="3286760"/>
            <wp:effectExtent l="0" t="0" r="190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9">
                      <a:extLst>
                        <a:ext uri="{28A0092B-C50C-407E-A947-70E740481C1C}">
                          <a14:useLocalDpi xmlns:a14="http://schemas.microsoft.com/office/drawing/2010/main" val="0"/>
                        </a:ext>
                      </a:extLst>
                    </a:blip>
                    <a:srcRect r="12603"/>
                    <a:stretch/>
                  </pic:blipFill>
                  <pic:spPr bwMode="auto">
                    <a:xfrm>
                      <a:off x="0" y="0"/>
                      <a:ext cx="5408762" cy="3286760"/>
                    </a:xfrm>
                    <a:prstGeom prst="rect">
                      <a:avLst/>
                    </a:prstGeom>
                    <a:noFill/>
                    <a:ln>
                      <a:noFill/>
                    </a:ln>
                    <a:extLst>
                      <a:ext uri="{53640926-AAD7-44D8-BBD7-CCE9431645EC}">
                        <a14:shadowObscured xmlns:a14="http://schemas.microsoft.com/office/drawing/2010/main"/>
                      </a:ext>
                    </a:extLst>
                  </pic:spPr>
                </pic:pic>
              </a:graphicData>
            </a:graphic>
          </wp:inline>
        </w:drawing>
      </w:r>
    </w:p>
    <w:p w14:paraId="75E2FD5C" w14:textId="77777777" w:rsidR="00744957" w:rsidRPr="008A494F" w:rsidRDefault="0027127C" w:rsidP="008A494F">
      <w:pPr>
        <w:snapToGrid w:val="0"/>
        <w:spacing w:before="60" w:after="60" w:line="240" w:lineRule="auto"/>
        <w:ind w:firstLineChars="500" w:firstLine="900"/>
        <w:jc w:val="left"/>
        <w:rPr>
          <w:rFonts w:asciiTheme="minorEastAsia" w:hAnsiTheme="minorEastAsia"/>
          <w:i/>
          <w:iCs/>
          <w:color w:val="333333"/>
          <w:sz w:val="18"/>
          <w:szCs w:val="18"/>
        </w:rPr>
      </w:pPr>
      <w:r w:rsidRPr="008A494F">
        <w:rPr>
          <w:rFonts w:asciiTheme="minorEastAsia" w:hAnsiTheme="minorEastAsia"/>
          <w:i/>
          <w:iCs/>
          <w:color w:val="333333"/>
          <w:sz w:val="18"/>
          <w:szCs w:val="18"/>
        </w:rPr>
        <w:t>注：圆圈大小表示地区生产总值</w:t>
      </w:r>
    </w:p>
    <w:p w14:paraId="201EAA4F" w14:textId="7EC14369" w:rsidR="00744957" w:rsidRPr="008A494F" w:rsidRDefault="0027127C" w:rsidP="00A42E8B">
      <w:pPr>
        <w:snapToGrid w:val="0"/>
        <w:spacing w:before="60" w:after="60"/>
        <w:ind w:firstLine="420"/>
        <w:jc w:val="center"/>
        <w:rPr>
          <w:rFonts w:asciiTheme="minorEastAsia" w:hAnsiTheme="minorEastAsia"/>
          <w:color w:val="333333"/>
          <w:szCs w:val="21"/>
        </w:rPr>
      </w:pPr>
      <w:r w:rsidRPr="008A494F">
        <w:rPr>
          <w:rFonts w:asciiTheme="minorEastAsia" w:hAnsiTheme="minorEastAsia"/>
          <w:color w:val="333333"/>
          <w:szCs w:val="21"/>
        </w:rPr>
        <w:t>图11 生鲜电商密度与地区生产总值增长率聚类结果</w:t>
      </w:r>
    </w:p>
    <w:p w14:paraId="5744093B" w14:textId="77777777" w:rsidR="00DC22A6" w:rsidRPr="008A494F" w:rsidRDefault="00DC22A6" w:rsidP="00A42E8B">
      <w:pPr>
        <w:snapToGrid w:val="0"/>
        <w:spacing w:before="60" w:after="60"/>
        <w:ind w:firstLine="420"/>
        <w:jc w:val="center"/>
        <w:rPr>
          <w:rFonts w:asciiTheme="minorEastAsia" w:hAnsiTheme="minorEastAsia"/>
          <w:color w:val="333333"/>
          <w:szCs w:val="21"/>
        </w:rPr>
      </w:pPr>
    </w:p>
    <w:p w14:paraId="53786427" w14:textId="77777777" w:rsidR="00744957" w:rsidRPr="008A494F" w:rsidRDefault="0027127C" w:rsidP="00A42E8B">
      <w:pPr>
        <w:numPr>
          <w:ilvl w:val="0"/>
          <w:numId w:val="32"/>
        </w:numPr>
        <w:snapToGrid w:val="0"/>
        <w:spacing w:before="60" w:after="60"/>
        <w:ind w:left="337" w:hangingChars="160" w:hanging="337"/>
        <w:jc w:val="left"/>
        <w:rPr>
          <w:rFonts w:asciiTheme="minorEastAsia" w:hAnsiTheme="minorEastAsia"/>
          <w:b/>
          <w:bCs/>
          <w:color w:val="333333"/>
          <w:szCs w:val="21"/>
        </w:rPr>
      </w:pPr>
      <w:r w:rsidRPr="008A494F">
        <w:rPr>
          <w:rFonts w:asciiTheme="minorEastAsia" w:hAnsiTheme="minorEastAsia"/>
          <w:b/>
          <w:bCs/>
          <w:color w:val="333333"/>
          <w:szCs w:val="21"/>
        </w:rPr>
        <w:t>热战区：如火如荼的主战场</w:t>
      </w:r>
    </w:p>
    <w:p w14:paraId="4CA702A3" w14:textId="77777777" w:rsidR="00744957" w:rsidRPr="008A494F" w:rsidRDefault="0027127C" w:rsidP="00A42E8B">
      <w:pPr>
        <w:snapToGrid w:val="0"/>
        <w:ind w:firstLine="422"/>
        <w:rPr>
          <w:rFonts w:asciiTheme="minorEastAsia" w:hAnsiTheme="minorEastAsia"/>
          <w:color w:val="333333"/>
          <w:szCs w:val="21"/>
        </w:rPr>
      </w:pPr>
      <w:r w:rsidRPr="008A494F">
        <w:rPr>
          <w:rFonts w:asciiTheme="minorEastAsia" w:hAnsiTheme="minorEastAsia"/>
          <w:b/>
          <w:bCs/>
          <w:color w:val="333333"/>
          <w:szCs w:val="21"/>
        </w:rPr>
        <w:t>商家应在热战区应合理对网点选址并积极扩张。</w:t>
      </w:r>
      <w:r w:rsidRPr="008A494F">
        <w:rPr>
          <w:rFonts w:asciiTheme="minorEastAsia" w:hAnsiTheme="minorEastAsia"/>
          <w:color w:val="333333"/>
          <w:szCs w:val="21"/>
        </w:rPr>
        <w:t>热战区特点说明其市场规模极大，网点大量增加不会因需求有限而发展受限；极高的人口密度及高电商密度，使单个网点的配送范围更聚焦，且无须耗费过多运力进行长距离配送。在资金较为充裕的情况下，将资本投入到市场需求大，运营较顺畅的大城市，既能更好满足消费者需求，也能稳定保证引流获客渠道，且网点密度达到一定水平时可以</w:t>
      </w:r>
      <w:r w:rsidRPr="008A494F">
        <w:rPr>
          <w:rFonts w:asciiTheme="minorEastAsia" w:hAnsiTheme="minorEastAsia"/>
          <w:b/>
          <w:bCs/>
          <w:color w:val="333333"/>
          <w:szCs w:val="21"/>
        </w:rPr>
        <w:t>形成规模效应，摊薄运营管理成本</w:t>
      </w:r>
      <w:r w:rsidRPr="008A494F">
        <w:rPr>
          <w:rFonts w:asciiTheme="minorEastAsia" w:hAnsiTheme="minorEastAsia"/>
          <w:color w:val="333333"/>
          <w:szCs w:val="21"/>
        </w:rPr>
        <w:t>。</w:t>
      </w:r>
    </w:p>
    <w:p w14:paraId="3E1CF238" w14:textId="77777777" w:rsidR="00744957" w:rsidRPr="008A494F" w:rsidRDefault="0027127C" w:rsidP="00A42E8B">
      <w:pPr>
        <w:snapToGrid w:val="0"/>
        <w:spacing w:before="60" w:after="60"/>
        <w:ind w:firstLineChars="0" w:firstLine="0"/>
        <w:rPr>
          <w:rFonts w:asciiTheme="minorEastAsia" w:hAnsiTheme="minorEastAsia"/>
          <w:b/>
          <w:bCs/>
          <w:color w:val="333333"/>
          <w:szCs w:val="21"/>
        </w:rPr>
      </w:pPr>
      <w:r w:rsidRPr="008A494F">
        <w:rPr>
          <w:rFonts w:asciiTheme="minorEastAsia" w:hAnsiTheme="minorEastAsia"/>
          <w:b/>
          <w:bCs/>
          <w:color w:val="333333"/>
          <w:szCs w:val="21"/>
        </w:rPr>
        <w:t>2. 优化区：精益求精的新贵族</w:t>
      </w:r>
    </w:p>
    <w:p w14:paraId="7785215C" w14:textId="77777777" w:rsidR="00744957" w:rsidRPr="008A494F" w:rsidRDefault="0027127C" w:rsidP="00A42E8B">
      <w:pPr>
        <w:snapToGrid w:val="0"/>
        <w:ind w:firstLine="420"/>
        <w:rPr>
          <w:rFonts w:asciiTheme="minorEastAsia" w:hAnsiTheme="minorEastAsia"/>
          <w:color w:val="333333"/>
          <w:szCs w:val="21"/>
        </w:rPr>
      </w:pPr>
      <w:r w:rsidRPr="008A494F">
        <w:rPr>
          <w:rFonts w:asciiTheme="minorEastAsia" w:hAnsiTheme="minorEastAsia"/>
          <w:color w:val="333333"/>
          <w:szCs w:val="21"/>
        </w:rPr>
        <w:t>生鲜电商行业复购率高，好的运营管理能够提升消费者粘性，带来区内生鲜电商的持续盈利。</w:t>
      </w:r>
      <w:r w:rsidRPr="008A494F">
        <w:rPr>
          <w:rFonts w:asciiTheme="minorEastAsia" w:hAnsiTheme="minorEastAsia"/>
          <w:b/>
          <w:bCs/>
          <w:color w:val="333333"/>
          <w:szCs w:val="21"/>
        </w:rPr>
        <w:t>新发展起来的优化区商家须更注重已有站点的优化，精益求精。</w:t>
      </w:r>
      <w:r w:rsidRPr="008A494F">
        <w:rPr>
          <w:rFonts w:asciiTheme="minorEastAsia" w:hAnsiTheme="minorEastAsia"/>
          <w:color w:val="333333"/>
          <w:szCs w:val="21"/>
        </w:rPr>
        <w:t>这包括供应链优化及精细化运营，着重提升区内的供应网络效率，提升单个网点的配送仓储及周转能力。基于较强的供应链、运营水平，当资金充裕、选址合适时，可适当增加网点数量。</w:t>
      </w:r>
    </w:p>
    <w:p w14:paraId="495DD084" w14:textId="77777777" w:rsidR="00744957" w:rsidRPr="008A494F" w:rsidRDefault="0027127C" w:rsidP="00A42E8B">
      <w:pPr>
        <w:snapToGrid w:val="0"/>
        <w:spacing w:before="60" w:after="60"/>
        <w:ind w:firstLineChars="0" w:firstLine="0"/>
        <w:rPr>
          <w:rFonts w:asciiTheme="minorEastAsia" w:hAnsiTheme="minorEastAsia"/>
          <w:b/>
          <w:bCs/>
          <w:color w:val="333333"/>
          <w:szCs w:val="21"/>
        </w:rPr>
      </w:pPr>
      <w:r w:rsidRPr="008A494F">
        <w:rPr>
          <w:rFonts w:asciiTheme="minorEastAsia" w:hAnsiTheme="minorEastAsia"/>
          <w:b/>
          <w:bCs/>
          <w:color w:val="333333"/>
          <w:szCs w:val="21"/>
        </w:rPr>
        <w:t>3. 潜力区：精致的潜力股</w:t>
      </w:r>
    </w:p>
    <w:p w14:paraId="296F977B" w14:textId="1B070F73" w:rsidR="00A42E8B" w:rsidRPr="008A494F" w:rsidRDefault="0027127C" w:rsidP="00A42E8B">
      <w:pPr>
        <w:snapToGrid w:val="0"/>
        <w:ind w:firstLine="422"/>
        <w:rPr>
          <w:rFonts w:asciiTheme="minorEastAsia" w:hAnsiTheme="minorEastAsia"/>
          <w:color w:val="333333"/>
          <w:szCs w:val="21"/>
        </w:rPr>
      </w:pPr>
      <w:r w:rsidRPr="008A494F">
        <w:rPr>
          <w:rFonts w:asciiTheme="minorEastAsia" w:hAnsiTheme="minorEastAsia"/>
          <w:b/>
          <w:bCs/>
          <w:color w:val="333333"/>
          <w:szCs w:val="21"/>
        </w:rPr>
        <w:t>商家可通过先发优势在潜力区积极扩张。</w:t>
      </w:r>
      <w:r w:rsidRPr="008A494F">
        <w:rPr>
          <w:rFonts w:asciiTheme="minorEastAsia" w:hAnsiTheme="minorEastAsia"/>
          <w:color w:val="333333"/>
          <w:szCs w:val="21"/>
        </w:rPr>
        <w:t>在潜力区，较高人口密度、较高经济增速、低生鲜电商密度条件下，建议：1. 适当地加速铺开小型网点，抢先占领一些市场份额的同时保留进退的空间，可以把握住该地区经济增长的机会；2. 适当加大营销纳新的力度，提前培养用户黏性；3. 最后，随着经济逐步发展，在后期调整预先建立的小型网点：若网点承载能力不够则扩建扩容，若供过于求则调整上游供货量，或通过精细化投放等方式优化供应端。</w:t>
      </w:r>
    </w:p>
    <w:p w14:paraId="59CB19F0" w14:textId="788E5689" w:rsidR="00744957" w:rsidRPr="008A494F" w:rsidRDefault="00A42E8B" w:rsidP="00A42E8B">
      <w:pPr>
        <w:snapToGrid w:val="0"/>
        <w:spacing w:before="60" w:after="60"/>
        <w:ind w:firstLineChars="0" w:firstLine="0"/>
        <w:rPr>
          <w:rFonts w:asciiTheme="minorEastAsia" w:hAnsiTheme="minorEastAsia"/>
          <w:b/>
          <w:bCs/>
          <w:color w:val="333333"/>
          <w:szCs w:val="21"/>
        </w:rPr>
      </w:pPr>
      <w:r w:rsidRPr="008A494F">
        <w:rPr>
          <w:rFonts w:asciiTheme="minorEastAsia" w:hAnsiTheme="minorEastAsia"/>
          <w:b/>
          <w:bCs/>
          <w:color w:val="333333"/>
          <w:szCs w:val="21"/>
        </w:rPr>
        <w:lastRenderedPageBreak/>
        <w:t>4</w:t>
      </w:r>
      <w:r w:rsidRPr="008A494F">
        <w:rPr>
          <w:rFonts w:asciiTheme="minorEastAsia" w:hAnsiTheme="minorEastAsia"/>
          <w:b/>
          <w:bCs/>
          <w:color w:val="333333"/>
          <w:szCs w:val="21"/>
        </w:rPr>
        <w:t xml:space="preserve">. </w:t>
      </w:r>
      <w:r w:rsidR="0027127C" w:rsidRPr="008A494F">
        <w:rPr>
          <w:rFonts w:asciiTheme="minorEastAsia" w:hAnsiTheme="minorEastAsia"/>
          <w:b/>
          <w:bCs/>
          <w:color w:val="333333"/>
          <w:szCs w:val="21"/>
        </w:rPr>
        <w:t>下沉区：沉默的大多数</w:t>
      </w:r>
    </w:p>
    <w:p w14:paraId="5FAEE161" w14:textId="77777777" w:rsidR="00744957" w:rsidRPr="008A494F" w:rsidRDefault="0027127C" w:rsidP="00A42E8B">
      <w:pPr>
        <w:snapToGrid w:val="0"/>
        <w:ind w:firstLine="420"/>
        <w:rPr>
          <w:rFonts w:asciiTheme="minorEastAsia" w:hAnsiTheme="minorEastAsia"/>
          <w:color w:val="333333"/>
          <w:szCs w:val="21"/>
        </w:rPr>
      </w:pPr>
      <w:r w:rsidRPr="008A494F">
        <w:rPr>
          <w:rFonts w:asciiTheme="minorEastAsia" w:hAnsiTheme="minorEastAsia"/>
          <w:color w:val="333333"/>
          <w:szCs w:val="21"/>
        </w:rPr>
        <w:t>该区多为农村地区，人口密度和消费水平低，经济总体量和增速差，从数据上看似乎对生</w:t>
      </w:r>
      <w:proofErr w:type="gramStart"/>
      <w:r w:rsidRPr="008A494F">
        <w:rPr>
          <w:rFonts w:asciiTheme="minorEastAsia" w:hAnsiTheme="minorEastAsia"/>
          <w:color w:val="333333"/>
          <w:szCs w:val="21"/>
        </w:rPr>
        <w:t>鲜电商价值</w:t>
      </w:r>
      <w:proofErr w:type="gramEnd"/>
      <w:r w:rsidRPr="008A494F">
        <w:rPr>
          <w:rFonts w:asciiTheme="minorEastAsia" w:hAnsiTheme="minorEastAsia"/>
          <w:color w:val="333333"/>
          <w:szCs w:val="21"/>
        </w:rPr>
        <w:t>不高。但</w:t>
      </w:r>
      <w:r w:rsidRPr="008A494F">
        <w:rPr>
          <w:rFonts w:asciiTheme="minorEastAsia" w:hAnsiTheme="minorEastAsia"/>
          <w:b/>
          <w:bCs/>
          <w:color w:val="333333"/>
          <w:szCs w:val="21"/>
        </w:rPr>
        <w:t>该区离生鲜供应端最近</w:t>
      </w:r>
      <w:r w:rsidRPr="008A494F">
        <w:rPr>
          <w:rFonts w:asciiTheme="minorEastAsia" w:hAnsiTheme="minorEastAsia"/>
          <w:color w:val="333333"/>
          <w:szCs w:val="21"/>
        </w:rPr>
        <w:t>，所以可以充分利用该区的农业资源，整合邻近区域的本地生鲜产品优势，</w:t>
      </w:r>
      <w:r w:rsidRPr="008A494F">
        <w:rPr>
          <w:rFonts w:asciiTheme="minorEastAsia" w:hAnsiTheme="minorEastAsia"/>
          <w:b/>
          <w:bCs/>
          <w:color w:val="333333"/>
          <w:szCs w:val="21"/>
        </w:rPr>
        <w:t>延续自产自销、发展本地农场直销等不同于其他生鲜电商的经营模式，盘活本地生鲜电商市场，发展地区内小循环。</w:t>
      </w:r>
    </w:p>
    <w:p w14:paraId="5309343B" w14:textId="77777777" w:rsidR="00744957" w:rsidRPr="008A494F" w:rsidRDefault="0027127C" w:rsidP="00A42E8B">
      <w:pPr>
        <w:pStyle w:val="5"/>
        <w:snapToGrid w:val="0"/>
        <w:spacing w:line="360" w:lineRule="auto"/>
        <w:ind w:firstLineChars="0" w:firstLine="0"/>
        <w:jc w:val="both"/>
        <w:rPr>
          <w:rFonts w:asciiTheme="minorEastAsia" w:hAnsiTheme="minorEastAsia"/>
        </w:rPr>
      </w:pPr>
      <w:r w:rsidRPr="008A494F">
        <w:rPr>
          <w:rFonts w:asciiTheme="minorEastAsia" w:hAnsiTheme="minorEastAsia"/>
        </w:rPr>
        <w:t>总结</w:t>
      </w:r>
    </w:p>
    <w:p w14:paraId="2325AE27" w14:textId="77777777" w:rsidR="00744957" w:rsidRPr="008A494F" w:rsidRDefault="0027127C" w:rsidP="00A42E8B">
      <w:pPr>
        <w:snapToGrid w:val="0"/>
        <w:ind w:firstLine="420"/>
        <w:rPr>
          <w:rFonts w:asciiTheme="minorEastAsia" w:hAnsiTheme="minorEastAsia"/>
          <w:color w:val="262626"/>
          <w:szCs w:val="21"/>
          <w:shd w:val="clear" w:color="auto" w:fill="FFFFFF"/>
        </w:rPr>
      </w:pPr>
      <w:r w:rsidRPr="008A494F">
        <w:rPr>
          <w:rFonts w:asciiTheme="minorEastAsia" w:hAnsiTheme="minorEastAsia"/>
          <w:color w:val="262626"/>
          <w:szCs w:val="21"/>
          <w:shd w:val="clear" w:color="auto" w:fill="FFFFFF"/>
        </w:rPr>
        <w:t>本文爬取汇总广东生鲜电商数据，对省内生鲜电商网点数据和各区/县内人口经济指标等数据进行K-Means聚类，从而达到识别各区生鲜电商状况，并依据其特性分为热战区、优化区、潜力区、下沉区，从而达到精准制定商业建议的目的。</w:t>
      </w:r>
    </w:p>
    <w:p w14:paraId="7796C52A" w14:textId="77777777" w:rsidR="00744957" w:rsidRPr="008A494F" w:rsidRDefault="00744957" w:rsidP="00A42E8B">
      <w:pPr>
        <w:snapToGrid w:val="0"/>
        <w:spacing w:before="60" w:after="60"/>
        <w:ind w:firstLine="420"/>
        <w:jc w:val="left"/>
        <w:rPr>
          <w:rFonts w:asciiTheme="minorEastAsia" w:hAnsiTheme="minorEastAsia"/>
          <w:color w:val="333333"/>
          <w:szCs w:val="21"/>
        </w:rPr>
      </w:pPr>
    </w:p>
    <w:sectPr w:rsidR="00744957" w:rsidRPr="008A494F" w:rsidSect="00DC22A6">
      <w:footerReference w:type="default" r:id="rId2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9C411" w14:textId="77777777" w:rsidR="005F2933" w:rsidRDefault="005F2933">
      <w:pPr>
        <w:spacing w:line="240" w:lineRule="auto"/>
        <w:ind w:firstLine="420"/>
      </w:pPr>
      <w:r>
        <w:separator/>
      </w:r>
    </w:p>
  </w:endnote>
  <w:endnote w:type="continuationSeparator" w:id="0">
    <w:p w14:paraId="30C789BA" w14:textId="77777777" w:rsidR="005F2933" w:rsidRDefault="005F2933">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3EBC6" w14:textId="77777777" w:rsidR="00744957" w:rsidRDefault="0027127C">
    <w:pPr>
      <w:snapToGrid w:val="0"/>
      <w:spacing w:before="60" w:after="60" w:line="312" w:lineRule="auto"/>
      <w:ind w:firstLine="420"/>
      <w:jc w:val="center"/>
      <w:rPr>
        <w:rFonts w:ascii="微软雅黑" w:eastAsia="微软雅黑" w:hAnsi="微软雅黑"/>
        <w:color w:val="333333"/>
        <w:sz w:val="18"/>
        <w:szCs w:val="18"/>
      </w:rPr>
    </w:pPr>
    <w:r>
      <w:fldChar w:fldCharType="begin"/>
    </w:r>
    <w:r>
      <w:rPr>
        <w:rFonts w:ascii="微软雅黑" w:eastAsia="微软雅黑" w:hAnsi="微软雅黑"/>
        <w:sz w:val="22"/>
      </w:rPr>
      <w:instrText>PAGE</w:instrText>
    </w:r>
    <w:r>
      <w:fldChar w:fldCharType="separate"/>
    </w:r>
    <w:r w:rsidR="00DC22A6">
      <w:rPr>
        <w:rFonts w:ascii="微软雅黑" w:eastAsia="微软雅黑" w:hAnsi="微软雅黑"/>
        <w:noProof/>
        <w:sz w:val="22"/>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91E09E" w14:textId="77777777" w:rsidR="005F2933" w:rsidRDefault="005F2933">
      <w:pPr>
        <w:spacing w:line="240" w:lineRule="auto"/>
        <w:ind w:firstLine="420"/>
      </w:pPr>
      <w:r>
        <w:separator/>
      </w:r>
    </w:p>
  </w:footnote>
  <w:footnote w:type="continuationSeparator" w:id="0">
    <w:p w14:paraId="1C8DCC08" w14:textId="77777777" w:rsidR="005F2933" w:rsidRDefault="005F2933">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44A30"/>
    <w:multiLevelType w:val="multilevel"/>
    <w:tmpl w:val="C20246A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1" w15:restartNumberingAfterBreak="0">
    <w:nsid w:val="18BA50EF"/>
    <w:multiLevelType w:val="multilevel"/>
    <w:tmpl w:val="4A6ECFD6"/>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2"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2D067816"/>
    <w:multiLevelType w:val="multilevel"/>
    <w:tmpl w:val="4CDE2E68"/>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42CB217A"/>
    <w:multiLevelType w:val="multilevel"/>
    <w:tmpl w:val="D55A719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6"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7"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4"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5" w15:restartNumberingAfterBreak="0">
    <w:nsid w:val="68055DF7"/>
    <w:multiLevelType w:val="multilevel"/>
    <w:tmpl w:val="53A67B6A"/>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num w:numId="1">
    <w:abstractNumId w:val="34"/>
  </w:num>
  <w:num w:numId="2">
    <w:abstractNumId w:val="9"/>
  </w:num>
  <w:num w:numId="3">
    <w:abstractNumId w:val="7"/>
  </w:num>
  <w:num w:numId="4">
    <w:abstractNumId w:val="8"/>
  </w:num>
  <w:num w:numId="5">
    <w:abstractNumId w:val="10"/>
  </w:num>
  <w:num w:numId="6">
    <w:abstractNumId w:val="11"/>
  </w:num>
  <w:num w:numId="7">
    <w:abstractNumId w:val="12"/>
  </w:num>
  <w:num w:numId="8">
    <w:abstractNumId w:val="13"/>
  </w:num>
  <w:num w:numId="9">
    <w:abstractNumId w:val="14"/>
  </w:num>
  <w:num w:numId="10">
    <w:abstractNumId w:val="15"/>
  </w:num>
  <w:num w:numId="11">
    <w:abstractNumId w:val="16"/>
  </w:num>
  <w:num w:numId="12">
    <w:abstractNumId w:val="17"/>
  </w:num>
  <w:num w:numId="13">
    <w:abstractNumId w:val="18"/>
  </w:num>
  <w:num w:numId="14">
    <w:abstractNumId w:val="19"/>
  </w:num>
  <w:num w:numId="15">
    <w:abstractNumId w:val="20"/>
  </w:num>
  <w:num w:numId="16">
    <w:abstractNumId w:val="21"/>
  </w:num>
  <w:num w:numId="17">
    <w:abstractNumId w:val="22"/>
  </w:num>
  <w:num w:numId="18">
    <w:abstractNumId w:val="23"/>
  </w:num>
  <w:num w:numId="19">
    <w:abstractNumId w:val="24"/>
  </w:num>
  <w:num w:numId="20">
    <w:abstractNumId w:val="25"/>
  </w:num>
  <w:num w:numId="21">
    <w:abstractNumId w:val="26"/>
  </w:num>
  <w:num w:numId="22">
    <w:abstractNumId w:val="27"/>
  </w:num>
  <w:num w:numId="23">
    <w:abstractNumId w:val="28"/>
  </w:num>
  <w:num w:numId="24">
    <w:abstractNumId w:val="29"/>
  </w:num>
  <w:num w:numId="25">
    <w:abstractNumId w:val="30"/>
  </w:num>
  <w:num w:numId="26">
    <w:abstractNumId w:val="31"/>
  </w:num>
  <w:num w:numId="27">
    <w:abstractNumId w:val="32"/>
  </w:num>
  <w:num w:numId="28">
    <w:abstractNumId w:val="33"/>
  </w:num>
  <w:num w:numId="29">
    <w:abstractNumId w:val="4"/>
  </w:num>
  <w:num w:numId="30">
    <w:abstractNumId w:val="6"/>
  </w:num>
  <w:num w:numId="31">
    <w:abstractNumId w:val="2"/>
  </w:num>
  <w:num w:numId="32">
    <w:abstractNumId w:val="5"/>
  </w:num>
  <w:num w:numId="33">
    <w:abstractNumId w:val="3"/>
  </w:num>
  <w:num w:numId="34">
    <w:abstractNumId w:val="35"/>
  </w:num>
  <w:num w:numId="35">
    <w:abstractNumId w:val="0"/>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KwsDAzN7YwNbEwMLZQ0lEKTi0uzszPAykwrAUAago3lSwAAAA="/>
  </w:docVars>
  <w:rsids>
    <w:rsidRoot w:val="00BA0C1A"/>
    <w:rsid w:val="000C51B7"/>
    <w:rsid w:val="00216EB9"/>
    <w:rsid w:val="0027127C"/>
    <w:rsid w:val="0059531B"/>
    <w:rsid w:val="005D29C6"/>
    <w:rsid w:val="005F2933"/>
    <w:rsid w:val="00616505"/>
    <w:rsid w:val="0062213C"/>
    <w:rsid w:val="00633F40"/>
    <w:rsid w:val="006549AD"/>
    <w:rsid w:val="00684D9C"/>
    <w:rsid w:val="00693D8A"/>
    <w:rsid w:val="00744957"/>
    <w:rsid w:val="008A494F"/>
    <w:rsid w:val="00A42E8B"/>
    <w:rsid w:val="00A60633"/>
    <w:rsid w:val="00AE180B"/>
    <w:rsid w:val="00BA0C1A"/>
    <w:rsid w:val="00C061CB"/>
    <w:rsid w:val="00C604EC"/>
    <w:rsid w:val="00DC22A6"/>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4C62A372"/>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pPr>
        <w:spacing w:line="360" w:lineRule="auto"/>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kern w:val="2"/>
      <w:sz w:val="21"/>
      <w:szCs w:val="22"/>
    </w:rPr>
  </w:style>
  <w:style w:type="paragraph" w:styleId="4">
    <w:name w:val="heading 4"/>
    <w:basedOn w:val="a"/>
    <w:next w:val="a"/>
    <w:uiPriority w:val="9"/>
    <w:unhideWhenUsed/>
    <w:qFormat/>
    <w:rsid w:val="001C768A"/>
    <w:pPr>
      <w:keepNext/>
      <w:keepLines/>
      <w:spacing w:line="408" w:lineRule="auto"/>
      <w:jc w:val="left"/>
      <w:outlineLvl w:val="3"/>
    </w:pPr>
    <w:rPr>
      <w:rFonts w:asciiTheme="majorHAnsi" w:eastAsiaTheme="majorEastAsia" w:hAnsiTheme="majorHAnsi" w:cstheme="majorBidi"/>
      <w:b/>
      <w:bCs/>
      <w:color w:val="1A1A1A"/>
      <w:sz w:val="24"/>
      <w:szCs w:val="28"/>
    </w:rPr>
  </w:style>
  <w:style w:type="paragraph" w:styleId="5">
    <w:name w:val="heading 5"/>
    <w:basedOn w:val="a"/>
    <w:next w:val="a"/>
    <w:uiPriority w:val="9"/>
    <w:unhideWhenUsed/>
    <w:qFormat/>
    <w:rsid w:val="001C768A"/>
    <w:pPr>
      <w:keepNext/>
      <w:keepLines/>
      <w:spacing w:line="408" w:lineRule="auto"/>
      <w:jc w:val="left"/>
      <w:outlineLvl w:val="4"/>
    </w:pPr>
    <w:rPr>
      <w:b/>
      <w:bCs/>
      <w:color w:val="1A1A1A"/>
      <w:sz w:val="22"/>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420"/>
    </w:pPr>
  </w:style>
  <w:style w:type="paragraph" w:styleId="a9">
    <w:name w:val="Title"/>
    <w:basedOn w:val="a"/>
    <w:next w:val="a"/>
    <w:uiPriority w:val="10"/>
    <w:qFormat/>
    <w:rsid w:val="001C768A"/>
    <w:pPr>
      <w:spacing w:line="480" w:lineRule="auto"/>
      <w:jc w:val="center"/>
      <w:outlineLvl w:val="0"/>
    </w:pPr>
    <w:rPr>
      <w:rFonts w:asciiTheme="majorHAnsi" w:eastAsiaTheme="majorEastAsia" w:hAnsiTheme="majorHAnsi" w:cstheme="majorBidi"/>
      <w:b/>
      <w:bCs/>
      <w:sz w:val="4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ns9="http://schemas.openxmlformats.org/schemaLibrary/2006/main" xmlns:mc="http://schemas.openxmlformats.org/markup-compatibility/2006"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5C7145-9B35-4F07-A301-FBD13A038C22}">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788</Words>
  <Characters>4494</Characters>
  <Application>Microsoft Office Word</Application>
  <DocSecurity>0</DocSecurity>
  <Lines>37</Lines>
  <Paragraphs>10</Paragraphs>
  <ScaleCrop>false</ScaleCrop>
  <Company>Microsoft</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钺 陈</cp:lastModifiedBy>
  <cp:revision>11</cp:revision>
  <dcterms:created xsi:type="dcterms:W3CDTF">2017-01-10T09:10:00Z</dcterms:created>
  <dcterms:modified xsi:type="dcterms:W3CDTF">2021-04-14T16:58:00Z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