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0"/>
          <w:szCs w:val="30"/>
        </w:rPr>
        <w:t xml:space="preserve">BOMBARDIER INC. — FINANCIAL PERFORMANCE REVIEW</w:t>
      </w:r>
    </w:p>
    <w:p>
      <w:pPr>
        <w:pBdr>
          <w:bottom w:val="single" w:color="1F3864" w:sz="6" w:space="6"/>
        </w:pBdr>
        <w:spacing w:after="240"/>
      </w:pPr>
      <w:r>
        <w:rPr>
          <w:i/>
          <w:iCs/>
          <w:color w:val="595959"/>
          <w:sz w:val="18"/>
          <w:szCs w:val="18"/>
        </w:rPr>
        <w:t xml:space="preserve">FY2021–FY2025  |  Prepared as a portfolio analysis using Bombardier's audited public filings</w:t>
      </w:r>
    </w:p>
    <w:p>
      <w:pPr>
        <w:spacing w:after="40"/>
      </w:pPr>
      <w:r>
        <w:rPr>
          <w:b/>
          <w:bCs/>
          <w:caps/>
          <w:color w:val="1F3864"/>
          <w:sz w:val="18"/>
          <w:szCs w:val="18"/>
        </w:rPr>
        <w:t xml:space="preserve">Headline</w:t>
      </w:r>
    </w:p>
    <w:p>
      <w:pPr>
        <w:spacing w:after="160"/>
      </w:pPr>
      <w:r>
        <w:rPr>
          <w:sz w:val="21"/>
          <w:szCs w:val="21"/>
        </w:rPr>
        <w:t xml:space="preserve">Bombardier's revenue and profitability have grown every year since 2021, and margins are expanding faster than revenue — the business is not just getting bigger, it is getting more efficient at converting sales into profit. Adjusted EBITDA margin rose from 10.5% in 2021 to 16.3% in 2025, even as revenue grew from $6.1B to $9.6B over the same period.</w:t>
      </w:r>
    </w:p>
    <w:p>
      <w:pPr>
        <w:spacing w:after="40"/>
      </w:pPr>
      <w:r>
        <w:rPr>
          <w:b/>
          <w:bCs/>
          <w:caps/>
          <w:color w:val="1F3864"/>
          <w:sz w:val="18"/>
          <w:szCs w:val="18"/>
        </w:rPr>
        <w:t xml:space="preserve">FY2025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$9,551M</w:t>
            </w:r>
          </w:p>
          <w:p>
            <w:pPr>
              <w:spacing w:before="40"/>
              <w:jc w:val="center"/>
            </w:pPr>
            <w:r>
              <w:rPr>
                <w:sz w:val="16"/>
                <w:szCs w:val="16"/>
              </w:rPr>
              <w:t xml:space="preserve">Revenue</w:t>
            </w:r>
          </w:p>
        </w:tc>
        <w:tc>
          <w:tcPr>
            <w:tcW w:type="pct" w:w="25%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16.3%</w:t>
            </w:r>
          </w:p>
          <w:p>
            <w:pPr>
              <w:spacing w:before="40"/>
              <w:jc w:val="center"/>
            </w:pPr>
            <w:r>
              <w:rPr>
                <w:sz w:val="16"/>
                <w:szCs w:val="16"/>
              </w:rPr>
              <w:t xml:space="preserve">Adj. EBITDA Margin</w:t>
            </w:r>
          </w:p>
        </w:tc>
        <w:tc>
          <w:tcPr>
            <w:tcW w:type="pct" w:w="25%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157</w:t>
            </w:r>
          </w:p>
          <w:p>
            <w:pPr>
              <w:spacing w:before="40"/>
              <w:jc w:val="center"/>
            </w:pPr>
            <w:r>
              <w:rPr>
                <w:sz w:val="16"/>
                <w:szCs w:val="16"/>
              </w:rPr>
              <w:t xml:space="preserve">Aircraft Delivered</w:t>
            </w:r>
          </w:p>
        </w:tc>
        <w:tc>
          <w:tcPr>
            <w:tcW w:type="pct" w:w="25%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0"/>
                <w:szCs w:val="30"/>
              </w:rPr>
              <w:t xml:space="preserve">$17.5B</w:t>
            </w:r>
          </w:p>
          <w:p>
            <w:pPr>
              <w:spacing w:before="40"/>
              <w:jc w:val="center"/>
            </w:pPr>
            <w:r>
              <w:rPr>
                <w:sz w:val="16"/>
                <w:szCs w:val="16"/>
              </w:rPr>
              <w:t xml:space="preserve">Order Backlog</w:t>
            </w:r>
          </w:p>
        </w:tc>
      </w:tr>
    </w:tbl>
    <w:p>
      <w:pPr>
        <w:spacing w:after="240"/>
      </w:pPr>
    </w:p>
    <w:p>
      <w:pPr>
        <w:spacing w:after="40"/>
      </w:pPr>
      <w:r>
        <w:rPr>
          <w:b/>
          <w:bCs/>
          <w:caps/>
          <w:color w:val="1F3864"/>
          <w:sz w:val="18"/>
          <w:szCs w:val="18"/>
        </w:rPr>
        <w:t xml:space="preserve">Key Findings</w:t>
      </w:r>
    </w:p>
    <w:p>
      <w:pPr>
        <w:spacing w:after="100"/>
        <w:ind w:left="260"/>
      </w:pPr>
      <w:r>
        <w:rPr>
          <w:b/>
          <w:bCs/>
          <w:color w:val="1F3864"/>
          <w:sz w:val="21"/>
          <w:szCs w:val="21"/>
        </w:rPr>
        <w:t xml:space="preserve">•  </w:t>
      </w:r>
      <w:r>
        <w:rPr>
          <w:sz w:val="21"/>
          <w:szCs w:val="21"/>
        </w:rPr>
        <w:t xml:space="preserve">Pricing and mix are improving, not just volume. Revenue per aircraft delivered climbed from $50.7M (2021) to $60.8M (2025) — Bombardier is earning more per jet sold, not simply selling more jets.</w:t>
      </w:r>
    </w:p>
    <w:p>
      <w:pPr>
        <w:spacing w:after="100"/>
        <w:ind w:left="260"/>
      </w:pPr>
      <w:r>
        <w:rPr>
          <w:b/>
          <w:bCs/>
          <w:color w:val="1F3864"/>
          <w:sz w:val="21"/>
          <w:szCs w:val="21"/>
        </w:rPr>
        <w:t xml:space="preserve">•  </w:t>
      </w:r>
      <w:r>
        <w:rPr>
          <w:sz w:val="21"/>
          <w:szCs w:val="21"/>
        </w:rPr>
        <w:t xml:space="preserve">Backlog cooled briefly before accelerating. Order backlog dipped from $14.8B (2022) to $14.2B (2023) before surging 23% to $17.5B in 2025. Worth monitoring whether the 2023 softening reflects a temporary demand pause or a pattern that could recur.</w:t>
      </w:r>
    </w:p>
    <w:p>
      <w:pPr>
        <w:spacing w:after="100"/>
        <w:ind w:left="260"/>
      </w:pPr>
      <w:r>
        <w:rPr>
          <w:b/>
          <w:bCs/>
          <w:color w:val="1F3864"/>
          <w:sz w:val="21"/>
          <w:szCs w:val="21"/>
        </w:rPr>
        <w:t xml:space="preserve">•  </w:t>
      </w:r>
      <w:r>
        <w:rPr>
          <w:sz w:val="21"/>
          <w:szCs w:val="21"/>
        </w:rPr>
        <w:t xml:space="preserve">Profitability is compounding faster than growth. 2023 delivered the single largest revenue gain of the period (+$1.13B), and EBITDA margin has expanded in every year without exception — a sign of consistent operating leverage rather than one-off cost cuts.</w:t>
      </w:r>
    </w:p>
    <w:p>
      <w:pPr>
        <w:spacing w:after="100"/>
        <w:ind w:left="260"/>
      </w:pPr>
      <w:r>
        <w:rPr>
          <w:b/>
          <w:bCs/>
          <w:color w:val="1F3864"/>
          <w:sz w:val="21"/>
          <w:szCs w:val="21"/>
        </w:rPr>
        <w:t xml:space="preserve">•  </w:t>
      </w:r>
      <w:r>
        <w:rPr>
          <w:sz w:val="21"/>
          <w:szCs w:val="21"/>
        </w:rPr>
        <w:t xml:space="preserve">On track against forward guidance. FY2025 revenue of $9,551M sits just under Bombardier's own stated FY2026 guidance of &gt;$10.0B — roughly 95% of the way there with one year of growth remaining.</w:t>
      </w:r>
    </w:p>
    <w:p>
      <w:pPr>
        <w:spacing w:after="40"/>
      </w:pPr>
      <w:r>
        <w:rPr>
          <w:b/>
          <w:bCs/>
          <w:caps/>
          <w:color w:val="1F3864"/>
          <w:sz w:val="18"/>
          <w:szCs w:val="18"/>
        </w:rPr>
        <w:t xml:space="preserve">What to Watch</w:t>
      </w:r>
    </w:p>
    <w:p>
      <w:pPr>
        <w:spacing w:after="160"/>
      </w:pPr>
      <w:r>
        <w:rPr>
          <w:sz w:val="21"/>
          <w:szCs w:val="21"/>
        </w:rPr>
        <w:t xml:space="preserve">Long-term debt has declined for four straight years (from $7.0B in 2021 to $4.5B in 2025) while free cash flow surged to $1,072M in 2025 — the strongest of the five-year period. If this pace moderates in 2026 as deliveries plateau, margin expansion (rather than volume growth) will likely be the more reliable driver of continued EBITDA growth.</w:t>
      </w:r>
    </w:p>
    <w:p>
      <w:pPr>
        <w:pBdr>
          <w:top w:val="single" w:color="BFBFBF" w:sz="4" w:space="6"/>
        </w:pBdr>
        <w:spacing w:before="200"/>
      </w:pPr>
      <w:r>
        <w:rPr>
          <w:i/>
          <w:iCs/>
          <w:color w:val="808080"/>
          <w:sz w:val="15"/>
          <w:szCs w:val="15"/>
        </w:rPr>
        <w:t xml:space="preserve">Source: Bombardier Inc. 2025 Annual Financial Report, Five-Year Summary (pp. 13–14) and Aircraft Deliveries and Order Backlog disclosure (p. 36). All figures reflect continuing operations.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2026-07-14T01:31:45.970Z</dcterms:created>
  <dcterms:modified xsi:type="dcterms:W3CDTF">2026-07-14T01:31:45.986Z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