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10017</w:t>
      </w:r>
    </w:p>
    <w:p>
      <w:r>
        <w:t>Visit Number: 62bf117a094ed0fdbe070f7f8b3ab0f13dd3d4cbf8aae1c983782a845effb0b5</w:t>
      </w:r>
    </w:p>
    <w:p>
      <w:r>
        <w:t>Masked_PatientID: 10011</w:t>
      </w:r>
    </w:p>
    <w:p>
      <w:r>
        <w:t>Order ID: 66db4476c448f797e860088dc4c483fc5f153789678e0f932244e7c850f41d81</w:t>
      </w:r>
    </w:p>
    <w:p>
      <w:r>
        <w:t>Order Name: Chest X-ray</w:t>
      </w:r>
    </w:p>
    <w:p>
      <w:r>
        <w:t>Result Item Code: CHE-NOV</w:t>
      </w:r>
    </w:p>
    <w:p>
      <w:r>
        <w:t>Performed Date Time: 05/11/2019 10:51</w:t>
      </w:r>
    </w:p>
    <w:p>
      <w:r>
        <w:t>Line Num: 1</w:t>
      </w:r>
    </w:p>
    <w:p>
      <w:r>
        <w:t>Text: HISTORY  post- tracheostomy REPORT Comparison radiograph 01/11/2019. Tracheostomy tube, right jugular central line, nasogastric tube and right lower zone  pleural drainage catheter noted in situ. Cardiac size cannot be accurately assessedin this projection. Blunted appearance of the right costophrenic angle with focal gas locules seen in  the right lower zone. There is a background air space opacities seen in the right  upper and mid zones. Minimal scarring in the left upper zone. No active lung lesion noted on the left. Partially imaged upper abdomen demonstrates a surgical staples in the left paramidline  aspect. Report Indicator: May need further action Finalised by: &lt;DOCTOR&gt;</w:t>
      </w:r>
    </w:p>
    <w:p>
      <w:r>
        <w:t>Accession Number: f545c34ac60f97ff7c92e3953dbe8bd9eef68c768ae3fec585b74de23f6a1c38</w:t>
      </w:r>
    </w:p>
    <w:p>
      <w:r>
        <w:t>Updated Date Time: 06/11/2019 18:40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