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10106</w:t>
      </w:r>
    </w:p>
    <w:p>
      <w:r>
        <w:t>Visit Number: 5f07831640e02e7968fcc4920d58f82b3a757d9c9bd348490e7c3ace17e72fbc</w:t>
      </w:r>
    </w:p>
    <w:p>
      <w:r>
        <w:t>Masked_PatientID: 10106</w:t>
      </w:r>
    </w:p>
    <w:p>
      <w:r>
        <w:t>Order ID: 1b6d90592ee72fa41e2ac544f5e93649034059c8b5d3dbf651a6e94ac6516e2a</w:t>
      </w:r>
    </w:p>
    <w:p>
      <w:r>
        <w:t>Order Name: Chest X-ray, Erect</w:t>
      </w:r>
    </w:p>
    <w:p>
      <w:r>
        <w:t>Result Item Code: CHE-ER</w:t>
      </w:r>
    </w:p>
    <w:p>
      <w:r>
        <w:t>Performed Date Time: 19/8/2016 13:46</w:t>
      </w:r>
    </w:p>
    <w:p>
      <w:r>
        <w:t>Line Num: 1</w:t>
      </w:r>
    </w:p>
    <w:p>
      <w:r>
        <w:t>Text:       HISTORY tro ptb REPORT  No prior studies for comparison. The trachea is midline.  Cardiomediastinal silhouette is within normal limits for  size. Patchy nodular opacities are noted in the right upper lung zone with associatedvolume  loss of the right upper lobe, and band-like opacity most likely representing scarring.   Although findings may indicate sequela prior TB infection, the possibility of active  infection is not excluded. The remaining lung fields are clear.  No sizable pleural effusion is detected.  Bones  and soft tissues are unremarkable.   May need further action Finalised by: &lt;DOCTOR&gt;</w:t>
      </w:r>
    </w:p>
    <w:p>
      <w:r>
        <w:t>Accession Number: afcfa54d0fcab9faa2edca7d4ed74af898d4a443bdfc4ac97d514aa499ad42c7</w:t>
      </w:r>
    </w:p>
    <w:p>
      <w:r>
        <w:t>Updated Date Time: 19/8/2016 21:46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