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10290</w:t>
      </w:r>
    </w:p>
    <w:p>
      <w:r>
        <w:t>Visit Number: f2cf47d358ac10a3f8990185ea511161a2c72781caf2311a2d8e6a905a255ea6</w:t>
      </w:r>
    </w:p>
    <w:p>
      <w:r>
        <w:t>Masked_PatientID: 10279</w:t>
      </w:r>
    </w:p>
    <w:p>
      <w:r>
        <w:t>Order ID: 62294d48747a9693e6f7d3d9bb2a7af5a20ddb54a3959428cf3154cc14c83cd7</w:t>
      </w:r>
    </w:p>
    <w:p>
      <w:r>
        <w:t>Order Name: US Chest Wall</w:t>
      </w:r>
    </w:p>
    <w:p>
      <w:r>
        <w:t>Result Item Code: USCHEW</w:t>
      </w:r>
    </w:p>
    <w:p>
      <w:r>
        <w:t>Performed Date Time: 17/5/2017 12:20</w:t>
      </w:r>
    </w:p>
    <w:p>
      <w:r>
        <w:t>Line Num: 1</w:t>
      </w:r>
    </w:p>
    <w:p>
      <w:r>
        <w:t>Text:       HISTORY infected ICD s/p extraction on 4/5/17 but persistent discharge despite on adequate  coverage of antibiotic for nearly 3weeks now; to look for deeper collection FINDINGS  An irregular 3.4x1.9 cm hypoechoic focus is seen in the superficial left upper chest  wall likely representing the site of the previously implanted AICD that has since  been extracted.  This could represent a collection deep to the open wound. CONCLUSION Possible collection in the bed of the extracted AICD in the left upper chest wall.   Known / Minor  Finalised by: &lt;DOCTOR&gt;</w:t>
      </w:r>
    </w:p>
    <w:p>
      <w:r>
        <w:t>Accession Number: ec711aea8a7cdb03cd06c5c635aedb3f1bb0878a8a974525b9dbb4f21cfbd199</w:t>
      </w:r>
    </w:p>
    <w:p>
      <w:r>
        <w:t>Updated Date Time: 17/5/2017 12:26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