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10342</w:t>
      </w:r>
    </w:p>
    <w:p>
      <w:r>
        <w:t>Visit Number: b423d9d274d95b7ab199f69a883eafc19d3546e17d8fc3bc97957a9c69522818</w:t>
      </w:r>
    </w:p>
    <w:p>
      <w:r>
        <w:t>Masked_PatientID: 10303</w:t>
      </w:r>
    </w:p>
    <w:p>
      <w:r>
        <w:t>Order ID: afeaebe02118790c62d2bde0374cd051fc2b327f612e149c417d54eac025d956</w:t>
      </w:r>
    </w:p>
    <w:p>
      <w:r>
        <w:t>Order Name: Chest X-ray</w:t>
      </w:r>
    </w:p>
    <w:p>
      <w:r>
        <w:t>Result Item Code: CHE-NOV</w:t>
      </w:r>
    </w:p>
    <w:p>
      <w:r>
        <w:t>Performed Date Time: 18/3/2018 23:11</w:t>
      </w:r>
    </w:p>
    <w:p>
      <w:r>
        <w:t>Line Num: 1</w:t>
      </w:r>
    </w:p>
    <w:p>
      <w:r>
        <w:t>Text:       HISTORY FEVER AND VOMITING REPORT Comparison is made to previous chest radiograph performed on 23 March 2016. Reference  is made to the abdominal radiograph performed on 19 March 2018. The patient is status-post right mastectomy.The heart size cannot be assessed accurately in this AP projection. The thoracic  aorta is unfolded with mural calcification. However, there is increased density in the left retrocardiac region that obscures  the left hemidiaphragm, may be related to focal infective process or atelectasis.   Clinical correlation is advised.   The costophrenic angles are clear. No subdiaphragmatic free gas is detected.   May need further action Reported by: &lt;DOCTOR&gt;</w:t>
      </w:r>
    </w:p>
    <w:p>
      <w:r>
        <w:t>Accession Number: 179ccd6ae8f279361863e91ce0e9dbddc7842c37e5a58d7f3812f5ef04062a9c</w:t>
      </w:r>
    </w:p>
    <w:p>
      <w:r>
        <w:t>Updated Date Time: 19/3/2018 18:02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