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10371</w:t>
      </w:r>
    </w:p>
    <w:p>
      <w:r>
        <w:t>Visit Number: 2893627a925fbdcfc8274f87c0fccd4d421a1686e7b02d8a757ba51e7065bd7d</w:t>
      </w:r>
    </w:p>
    <w:p>
      <w:r>
        <w:t>Masked_PatientID: 10366</w:t>
      </w:r>
    </w:p>
    <w:p>
      <w:r>
        <w:t>Order ID: 9512e7affe30f0926ee99b1647a92695d5610d248039ec6351918ecebe05d418</w:t>
      </w:r>
    </w:p>
    <w:p>
      <w:r>
        <w:t>Order Name: CT Chest, Abdomen and Pelvis</w:t>
      </w:r>
    </w:p>
    <w:p>
      <w:r>
        <w:t>Result Item Code: CTCHEABDP</w:t>
      </w:r>
    </w:p>
    <w:p>
      <w:r>
        <w:t>Performed Date Time: 06/6/2018 17:35</w:t>
      </w:r>
    </w:p>
    <w:p>
      <w:r>
        <w:t>Line Num: 1</w:t>
      </w:r>
    </w:p>
    <w:p>
      <w:r>
        <w:t>Text: ADDENDUM     This is in addition to the report: The superior mesenteric artery and vein as well as the inferior mesenteric artery  and vein are patent.  The branches of these vessels are not well assessed.      May need further action Finalised by: &lt;DOCTOR&gt;</w:t>
      </w:r>
    </w:p>
    <w:p>
      <w:r>
        <w:t>Accession Number: e0510069d730c4632fe76c747c3e3520233aa79cdef329778c64b062240ca748</w:t>
      </w:r>
    </w:p>
    <w:p>
      <w:r>
        <w:t>Updated Date Time: 07/6/2018 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