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10440</w:t>
      </w:r>
    </w:p>
    <w:p>
      <w:r>
        <w:t>Visit Number: a680e4869aefa6a4aa9300eec032294e8f0432cc543fe91dfd0f92a9711c1aca</w:t>
      </w:r>
    </w:p>
    <w:p>
      <w:r>
        <w:t>Masked_PatientID: 10438</w:t>
      </w:r>
    </w:p>
    <w:p>
      <w:r>
        <w:t>Order ID: a8f8e312d22aefeefa055e51e80e6f6bfca4de68fcf6cdc60c1aefc167a316b7</w:t>
      </w:r>
    </w:p>
    <w:p>
      <w:r>
        <w:t>Order Name: Chest X-ray</w:t>
      </w:r>
    </w:p>
    <w:p>
      <w:r>
        <w:t>Result Item Code: CHE-NOV</w:t>
      </w:r>
    </w:p>
    <w:p>
      <w:r>
        <w:t>Performed Date Time: 02/3/2017 7:02</w:t>
      </w:r>
    </w:p>
    <w:p>
      <w:r>
        <w:t>Line Num: 1</w:t>
      </w:r>
    </w:p>
    <w:p>
      <w:r>
        <w:t>Text:       HISTORY desat REPORT  Comparison dated 21/11/2016. The cardiac silhouette is enlarged.  The thoracic aorta is unfolded and demonstrates  mural calcifications. Prominent patchy interstitial markings are now noted throughout both lungs.  Findings  may reflect interval developing pulmonary interstitial oedema, although underlying  infection is not totally excluded. Radiographic follow-up is recommended.  No sizable  pleural effusion or pneumothorax is demonstrated. Degenerative changes are noted of the imaged spine.  Soft tissues and osseous structures  appear otherwise unremarkable.   May need further action Finalised by: &lt;DOCTOR&gt;</w:t>
      </w:r>
    </w:p>
    <w:p>
      <w:r>
        <w:t>Accession Number: 86319e0bf2b90ae071a836acdee4c54edc51a0f555becb87686e243abae9b868</w:t>
      </w:r>
    </w:p>
    <w:p>
      <w:r>
        <w:t>Updated Date Time: 02/3/2017 9:58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