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10452</w:t>
      </w:r>
    </w:p>
    <w:p>
      <w:r>
        <w:t>Visit Number: 55372675537367bd4932196fe6a778acb8a3c987d101338eae843638983922db</w:t>
      </w:r>
    </w:p>
    <w:p>
      <w:r>
        <w:t>Masked_PatientID: 10450</w:t>
      </w:r>
    </w:p>
    <w:p>
      <w:r>
        <w:t>Order ID: 537890e4e065ae15149095694fe503bcce65b26ccadd8edcb9bdf43fb2a29a32</w:t>
      </w:r>
    </w:p>
    <w:p>
      <w:r>
        <w:t>Order Name: Chest X-ray, Erect</w:t>
      </w:r>
    </w:p>
    <w:p>
      <w:r>
        <w:t>Result Item Code: CHE-ER</w:t>
      </w:r>
    </w:p>
    <w:p>
      <w:r>
        <w:t>Performed Date Time: 20/1/2016 23:59</w:t>
      </w:r>
    </w:p>
    <w:p>
      <w:r>
        <w:t>Line Num: 1</w:t>
      </w:r>
    </w:p>
    <w:p>
      <w:r>
        <w:t>Text:       HISTORY cough n fever REPORT Comparison is made with the previous study of 18 Jul 2012. The HRCT chest of 17 Apr  2012 was also reviewed (CGH).  The soft tissue mediastinal mass has slightly increased in size. This was previously  characterised to be cystic, (probably representing a lymphangioma) on the prior CT  study.   Patchy air space opacities at the left lower zone are likely due to infective change  given the clinical history. No pleural effusion is seen. Theheart size is within normal limits.  Coronary artery stent is noted in situ.   Further action or early intervention required Finalised by: &lt;DOCTOR&gt;</w:t>
      </w:r>
    </w:p>
    <w:p>
      <w:r>
        <w:t>Accession Number: cef632d1ddf151c609a93bf3ee18bd9f7063b5435feba53c308c63d2c90259bd</w:t>
      </w:r>
    </w:p>
    <w:p>
      <w:r>
        <w:t>Updated Date Time: 21/1/2016 23:57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