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10574</w:t>
      </w:r>
    </w:p>
    <w:p>
      <w:r>
        <w:t>Visit Number: 34fde513764d7b15574bcb6a4886b1e930d88d0f9c45a9c567ff9cfe0b2852d9</w:t>
      </w:r>
    </w:p>
    <w:p>
      <w:r>
        <w:t>Masked_PatientID: 10503</w:t>
      </w:r>
    </w:p>
    <w:p>
      <w:r>
        <w:t>Order ID: a44f71c70de90dc3b74b0cf63fc26a12f21f6a24db9efa2a8e084a3d475cb2f6</w:t>
      </w:r>
    </w:p>
    <w:p>
      <w:r>
        <w:t>Order Name: Chest X-ray</w:t>
      </w:r>
    </w:p>
    <w:p>
      <w:r>
        <w:t>Result Item Code: CHE-NOV</w:t>
      </w:r>
    </w:p>
    <w:p>
      <w:r>
        <w:t>Performed Date Time: 04/9/2017 15:37</w:t>
      </w:r>
    </w:p>
    <w:p>
      <w:r>
        <w:t>Line Num: 1</w:t>
      </w:r>
    </w:p>
    <w:p>
      <w:r>
        <w:t>Text:       HISTORY AFTER NGT INSERTION/ CHANGE REPORT  Comparison is made with the previous radiograph performed earlier on the same day  at 09:03. The tip of the nasogastric tube is projected over the gastric fundus, near the gastro-oesophageal  junction and further advancement is suggested. The tip of bilateral central venous catheters are projected over the distal superior  vena cava. An aortic stent and aortic valve prosthesis are noted.  Left coronary arterial calcificationsare again seen.  The heart is magnified in this AP sitting view. Patchy airspace opacities in both lungs are stable and may be related to infective  change.  The tracheostomy tube is in situ.    May need further action Finalised by: &lt;DOCTOR&gt;</w:t>
      </w:r>
    </w:p>
    <w:p>
      <w:r>
        <w:t>Accession Number: 8a62af3fdd6d2c43264ae08a521916dd0c5e2b41342bdf93ad10293384e674e4</w:t>
      </w:r>
    </w:p>
    <w:p>
      <w:r>
        <w:t>Updated Date Time: 05/9/2017 16:14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