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10523</w:t>
      </w:r>
    </w:p>
    <w:p>
      <w:r>
        <w:t>Visit Number: 34fde513764d7b15574bcb6a4886b1e930d88d0f9c45a9c567ff9cfe0b2852d9</w:t>
      </w:r>
    </w:p>
    <w:p>
      <w:r>
        <w:t>Masked_PatientID: 10503</w:t>
      </w:r>
    </w:p>
    <w:p>
      <w:r>
        <w:t>Order ID: 8531987d803d0c50555bd769c449e42dbdf150b91bf48520e18f2c5500298e68</w:t>
      </w:r>
    </w:p>
    <w:p>
      <w:r>
        <w:t>Order Name: Chest X-ray</w:t>
      </w:r>
    </w:p>
    <w:p>
      <w:r>
        <w:t>Result Item Code: CHE-NOV</w:t>
      </w:r>
    </w:p>
    <w:p>
      <w:r>
        <w:t>Performed Date Time: 22/7/2017 6:00</w:t>
      </w:r>
    </w:p>
    <w:p>
      <w:r>
        <w:t>Line Num: 1</w:t>
      </w:r>
    </w:p>
    <w:p>
      <w:r>
        <w:t>Text:       HISTORY ECMO REPORT Mobile radiograph chest supine. Prior radiograph dated  21/07/2017  was reviewed. The positions of the endotracheal tube, nasogastric tube, bilateral chest tubes,  mediastinal drainage catheters, IVC cathetersare unchanged.  Sternotomy sutures,  prosthetic cardiac valve, endovascular stent are in situ.  The bilateral extensive  air space opacities, more on the left side are also grossly unchanged.   May need further action Finalised by: &lt;DOCTOR&gt;</w:t>
      </w:r>
    </w:p>
    <w:p>
      <w:r>
        <w:t>Accession Number: 2c781b7ca424d03dcab80f2465deb2a3bcdc8f7f55c88c9ee9e5b808c0553092</w:t>
      </w:r>
    </w:p>
    <w:p>
      <w:r>
        <w:t>Updated Date Time: 22/7/2017 20:16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