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10562</w:t>
      </w:r>
    </w:p>
    <w:p>
      <w:r>
        <w:t>Visit Number: 34fde513764d7b15574bcb6a4886b1e930d88d0f9c45a9c567ff9cfe0b2852d9</w:t>
      </w:r>
    </w:p>
    <w:p>
      <w:r>
        <w:t>Masked_PatientID: 10503</w:t>
      </w:r>
    </w:p>
    <w:p>
      <w:r>
        <w:t>Order ID: ff2bd9791830b169b0f66e45d49236766ba62f99c0592bf7c6c2b928d8d01a50</w:t>
      </w:r>
    </w:p>
    <w:p>
      <w:r>
        <w:t>Order Name: CT Chest, Abdomen and Pelvis</w:t>
      </w:r>
    </w:p>
    <w:p>
      <w:r>
        <w:t>Result Item Code: CTCHEABDP</w:t>
      </w:r>
    </w:p>
    <w:p>
      <w:r>
        <w:t>Performed Date Time: 22/8/2017 9:59</w:t>
      </w:r>
    </w:p>
    <w:p>
      <w:r>
        <w:t>Line Num: 14</w:t>
      </w:r>
    </w:p>
    <w:p>
      <w:r>
        <w:t>Text: use subcutaneous oedema could be related  to third spacing.  CONCLUSION 1. Focal bony erosion of at the sternomanubrium junction is suspicious for osteomyelitis.  No evidence of adjacent abscess formation. 2. There is increase in size.  Loculated left hydropneumothorax following removal  of the left chest drain.  The amount of gas has increased, probably due to chest  tube removal. 3. Tubular outpouching of the at the anterior aspect aortic arch correspond a tract  from a previous catheter which has not been obliterated. 4. Thin rind of chronic thrombus at the IVC.  5. Other stable and minor findings are as described in the body of the report.    Further action or early intervention required Reported by: &lt;DOCTOR&gt;</w:t>
      </w:r>
    </w:p>
    <w:p>
      <w:r>
        <w:t>Accession Number: eaefb1bd896d0b8d33298931eccbc92c8115393a275d403d9bd6213f78e459ea</w:t>
      </w:r>
    </w:p>
    <w:p>
      <w:r>
        <w:t>Updated Date Time: 22/8/2017 12:52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