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10751</w:t>
      </w:r>
    </w:p>
    <w:p>
      <w:r>
        <w:t>Visit Number: 809f4109d17f811f7b499d60083101450a9016c1b03d9ffe8d992ade7f9577d7</w:t>
      </w:r>
    </w:p>
    <w:p>
      <w:r>
        <w:t>Masked_PatientID: 10750</w:t>
      </w:r>
    </w:p>
    <w:p>
      <w:r>
        <w:t>Order ID: b0d559244b4dacb1f3c5d82033864a897c8b541e212c654155f2d40c30a0240b</w:t>
      </w:r>
    </w:p>
    <w:p>
      <w:r>
        <w:t>Order Name: Chest X-ray, Erect</w:t>
      </w:r>
    </w:p>
    <w:p>
      <w:r>
        <w:t>Result Item Code: CHE-ER</w:t>
      </w:r>
    </w:p>
    <w:p>
      <w:r>
        <w:t>Performed Date Time: 26/4/2016 12:25</w:t>
      </w:r>
    </w:p>
    <w:p>
      <w:r>
        <w:t>Line Num: 1</w:t>
      </w:r>
    </w:p>
    <w:p>
      <w:r>
        <w:t>Text:       HISTORY cough x 8/12 hemoptysis today REPORT Chest radiograph:  PA erect The previous chest radiograph dated 23 December 2015 and CT chest, abdomen and pelvis  dated 29 June 2015 were reviewed.   The heart size is normal.The thoracic aorta is unfolded.   Increased air-space opacification in both lower zones (worse on the right), associated  with underlying bronchiectasis and a small left pleural effusion are seen, likely  secondary to infective changes.   Further action or early intervention required Finalised by: &lt;DOCTOR&gt;</w:t>
      </w:r>
    </w:p>
    <w:p>
      <w:r>
        <w:t>Accession Number: 16fd1780d48095bbdef6a62f2caae0082606f5816dff1c4ee5556a292edc5798</w:t>
      </w:r>
    </w:p>
    <w:p>
      <w:r>
        <w:t>Updated Date Time: 26/4/2016 19:06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